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jpeg" ContentType="image/jpe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pPr>
      <w:r>
        <w:drawing>
          <wp:anchor behindDoc="0" distT="0" distB="0" distL="114935" distR="114935" simplePos="0" locked="0" layoutInCell="0" allowOverlap="1" relativeHeight="2">
            <wp:simplePos x="0" y="0"/>
            <wp:positionH relativeFrom="column">
              <wp:posOffset>27940</wp:posOffset>
            </wp:positionH>
            <wp:positionV relativeFrom="paragraph">
              <wp:posOffset>45085</wp:posOffset>
            </wp:positionV>
            <wp:extent cx="951230" cy="1409065"/>
            <wp:effectExtent l="0" t="0" r="0" b="0"/>
            <wp:wrapTight wrapText="bothSides">
              <wp:wrapPolygon edited="0">
                <wp:start x="-331" y="0"/>
                <wp:lineTo x="-331" y="21197"/>
                <wp:lineTo x="21500" y="21197"/>
                <wp:lineTo x="21500" y="0"/>
                <wp:lineTo x="-331" y="0"/>
              </wp:wrapPolygon>
            </wp:wrapTight>
            <wp:docPr id="1" name="Εικόνα 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4" descr="" title=""/>
                    <pic:cNvPicPr>
                      <a:picLocks noChangeAspect="1" noChangeArrowheads="1"/>
                    </pic:cNvPicPr>
                  </pic:nvPicPr>
                  <pic:blipFill>
                    <a:blip r:embed="rId2"/>
                    <a:srcRect l="-76" t="-51" r="-76" b="-51"/>
                    <a:stretch>
                      <a:fillRect/>
                    </a:stretch>
                  </pic:blipFill>
                  <pic:spPr bwMode="auto">
                    <a:xfrm>
                      <a:off x="0" y="0"/>
                      <a:ext cx="951230" cy="1409065"/>
                    </a:xfrm>
                    <a:prstGeom prst="rect">
                      <a:avLst/>
                    </a:prstGeom>
                  </pic:spPr>
                </pic:pic>
              </a:graphicData>
            </a:graphic>
          </wp:anchor>
        </w:drawing>
        <mc:AlternateContent>
          <mc:Choice Requires="wps">
            <w:drawing>
              <wp:anchor behindDoc="0" distT="0" distB="0" distL="108585" distR="114935" simplePos="0" locked="0" layoutInCell="0" allowOverlap="1" relativeHeight="3">
                <wp:simplePos x="0" y="0"/>
                <wp:positionH relativeFrom="column">
                  <wp:posOffset>27940</wp:posOffset>
                </wp:positionH>
                <wp:positionV relativeFrom="paragraph">
                  <wp:posOffset>6350</wp:posOffset>
                </wp:positionV>
                <wp:extent cx="4537075" cy="1474470"/>
                <wp:effectExtent l="0" t="0" r="0" b="0"/>
                <wp:wrapSquare wrapText="largest"/>
                <wp:docPr id="2" name="Πλαίσιο1"/>
                <a:graphic xmlns:a="http://schemas.openxmlformats.org/drawingml/2006/main">
                  <a:graphicData uri="http://schemas.microsoft.com/office/word/2010/wordprocessingShape">
                    <wps:wsp>
                      <wps:cNvSpPr/>
                      <wps:spPr>
                        <a:xfrm>
                          <a:off x="0" y="0"/>
                          <a:ext cx="4537080" cy="1474560"/>
                        </a:xfrm>
                        <a:prstGeom prst="rect">
                          <a:avLst/>
                        </a:prstGeom>
                        <a:noFill/>
                        <a:ln w="0">
                          <a:noFill/>
                        </a:ln>
                      </wps:spPr>
                      <wps:style>
                        <a:lnRef idx="0"/>
                        <a:fillRef idx="0"/>
                        <a:effectRef idx="0"/>
                        <a:fontRef idx="minor"/>
                      </wps:style>
                      <wps:txbx>
                        <w:txbxContent>
                          <w:p>
                            <w:pPr>
                              <w:pStyle w:val="Style17"/>
                              <w:spacing w:lineRule="auto" w:line="240" w:before="0" w:after="0"/>
                              <w:ind w:firstLine="720" w:start="720"/>
                              <w:jc w:val="center"/>
                              <w:rPr>
                                <w:rFonts w:cs="Calibri"/>
                                <w:b/>
                                <w:sz w:val="28"/>
                                <w:szCs w:val="28"/>
                                <w:lang w:eastAsia="el-GR"/>
                              </w:rPr>
                            </w:pPr>
                            <w:r>
                              <w:rPr>
                                <w:rFonts w:cs="Calibri"/>
                                <w:b/>
                                <w:color w:val="000000"/>
                                <w:sz w:val="28"/>
                                <w:szCs w:val="28"/>
                                <w:lang w:eastAsia="el-GR"/>
                              </w:rPr>
                              <w:t>ΣΥΛΛΟΓΟΣ ΕΚΠΑΙΔΕΥΤΙΚΩΝ Π.Ε.</w:t>
                            </w:r>
                          </w:p>
                          <w:p>
                            <w:pPr>
                              <w:pStyle w:val="Style17"/>
                              <w:spacing w:lineRule="auto" w:line="240" w:before="0" w:after="0"/>
                              <w:ind w:firstLine="720" w:start="720"/>
                              <w:jc w:val="center"/>
                              <w:rPr>
                                <w:rFonts w:eastAsia="Times New Roman" w:cs="Calibri"/>
                                <w:b/>
                                <w:sz w:val="28"/>
                                <w:szCs w:val="20"/>
                                <w:lang w:eastAsia="el-GR"/>
                              </w:rPr>
                            </w:pPr>
                            <w:r>
                              <w:rPr>
                                <w:rFonts w:eastAsia="Times New Roman" w:cs="Calibri"/>
                                <w:b/>
                                <w:color w:val="000000"/>
                                <w:sz w:val="28"/>
                                <w:szCs w:val="20"/>
                                <w:lang w:eastAsia="el-GR"/>
                              </w:rPr>
                              <w:t>ΒΥΡΩΝΑ - ΚΑΙΣΑΡΙΑΝΗΣ – ΠΑΓΚΡΑΤΙΟΥ</w:t>
                            </w:r>
                          </w:p>
                          <w:p>
                            <w:pPr>
                              <w:pStyle w:val="Style17"/>
                              <w:spacing w:lineRule="auto" w:line="240" w:before="0" w:after="0"/>
                              <w:ind w:firstLine="720"/>
                              <w:jc w:val="center"/>
                              <w:rPr>
                                <w:rFonts w:eastAsia="Times New Roman" w:cs="Calibri"/>
                                <w:b/>
                                <w:sz w:val="28"/>
                                <w:szCs w:val="20"/>
                                <w:lang w:eastAsia="el-GR"/>
                              </w:rPr>
                            </w:pPr>
                            <w:r>
                              <w:rPr>
                                <w:rFonts w:eastAsia="Times New Roman" w:cs="Calibri"/>
                                <w:b/>
                                <w:color w:val="000000"/>
                                <w:sz w:val="28"/>
                                <w:szCs w:val="20"/>
                                <w:lang w:eastAsia="el-GR"/>
                              </w:rPr>
                              <w:t>«ΡΟΖΑ ΙΜΒΡΙΩΤΗ»</w:t>
                            </w:r>
                          </w:p>
                          <w:p>
                            <w:pPr>
                              <w:pStyle w:val="Style17"/>
                              <w:spacing w:lineRule="auto" w:line="240" w:before="0" w:after="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rFonts w:eastAsia="Times New Roman" w:cs="Calibri"/>
                                <w:b/>
                                <w:sz w:val="24"/>
                                <w:szCs w:val="20"/>
                                <w:lang w:eastAsia="el-GR"/>
                              </w:rPr>
                            </w:pPr>
                            <w:r>
                              <w:rPr>
                                <w:rFonts w:eastAsia="Times New Roman" w:cs="Calibri"/>
                                <w:b/>
                                <w:color w:val="000000"/>
                                <w:sz w:val="24"/>
                                <w:szCs w:val="20"/>
                                <w:lang w:eastAsia="el-GR"/>
                              </w:rPr>
                              <w:t>Κωνσταντιλιέρη και Ερυθραίας - Βύρωνας</w:t>
                            </w:r>
                          </w:p>
                          <w:p>
                            <w:pPr>
                              <w:pStyle w:val="Style17"/>
                              <w:spacing w:lineRule="auto" w:line="240" w:before="0" w:after="0"/>
                              <w:ind w:firstLine="720" w:start="72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lang w:val="en-US"/>
                              </w:rPr>
                            </w:pPr>
                            <w:r>
                              <w:rPr>
                                <w:rFonts w:eastAsia="Times New Roman" w:cs="Calibri"/>
                                <w:b/>
                                <w:i/>
                                <w:color w:val="000000"/>
                                <w:sz w:val="24"/>
                                <w:szCs w:val="20"/>
                                <w:lang w:val="en-US" w:eastAsia="el-GR"/>
                              </w:rPr>
                              <w:t>Web: sylimvrioti.gr</w:t>
                              <w:tab/>
                              <w:t xml:space="preserve">e-mail: </w:t>
                            </w:r>
                            <w:hyperlink r:id="rId3">
                              <w:r>
                                <w:rPr>
                                  <w:rStyle w:val="ListLabel28"/>
                                  <w:rFonts w:eastAsia="Times New Roman" w:cs="Calibri"/>
                                  <w:b/>
                                  <w:i/>
                                  <w:color w:val="000000"/>
                                  <w:sz w:val="24"/>
                                  <w:szCs w:val="20"/>
                                  <w:lang w:val="en-US" w:eastAsia="el-GR"/>
                                </w:rPr>
                                <w:t>sylbox@sylimvrioti.gr</w:t>
                              </w:r>
                            </w:hyperlink>
                          </w:p>
                          <w:p>
                            <w:pPr>
                              <w:pStyle w:val="Style17"/>
                              <w:spacing w:lineRule="auto" w:line="240" w:before="0" w:after="0"/>
                              <w:ind w:start="1440"/>
                              <w:jc w:val="center"/>
                              <w:rPr>
                                <w:color w:val="000000"/>
                              </w:rPr>
                            </w:pPr>
                            <w:r>
                              <w:rPr>
                                <w:rFonts w:cs="Calibri"/>
                                <w:b/>
                                <w:color w:val="000000"/>
                                <w:sz w:val="24"/>
                                <w:szCs w:val="20"/>
                                <w:lang w:val="en-US" w:eastAsia="el-GR"/>
                              </w:rPr>
                              <w:t xml:space="preserve"> </w:t>
                            </w:r>
                            <w:r>
                              <w:rPr>
                                <w:rFonts w:eastAsia="Times New Roman" w:cs="Calibri"/>
                                <w:b/>
                                <w:color w:val="000000"/>
                                <w:sz w:val="24"/>
                                <w:szCs w:val="20"/>
                                <w:lang w:eastAsia="el-GR"/>
                              </w:rPr>
                              <w:t xml:space="preserve">ΠΛΗΡ.:  </w:t>
                            </w:r>
                            <w:r>
                              <w:rPr>
                                <w:rFonts w:eastAsia="Times New Roman" w:cs="Calibri"/>
                                <w:b/>
                                <w:color w:val="000000"/>
                                <w:lang w:eastAsia="el-GR"/>
                              </w:rPr>
                              <w:t xml:space="preserve">Δριμάλα Θεοδώρα   –   </w:t>
                            </w:r>
                            <w:r>
                              <w:rPr>
                                <w:rFonts w:cs="Calibri"/>
                                <w:b/>
                                <w:color w:val="000000"/>
                              </w:rPr>
                              <w:t>Γλαβίνα Σουζάνα</w:t>
                            </w:r>
                          </w:p>
                          <w:p>
                            <w:pPr>
                              <w:pStyle w:val="Style17"/>
                              <w:spacing w:lineRule="auto" w:line="240" w:before="0" w:after="0"/>
                              <w:ind w:start="1440"/>
                              <w:jc w:val="center"/>
                              <w:rPr>
                                <w:color w:val="000000"/>
                              </w:rPr>
                            </w:pPr>
                            <w:r>
                              <w:rPr>
                                <w:rFonts w:cs="Calibri"/>
                                <w:b/>
                                <w:color w:val="000000"/>
                                <w:lang w:eastAsia="el-GR"/>
                              </w:rPr>
                              <w:t xml:space="preserve"> </w:t>
                            </w:r>
                            <w:r>
                              <w:rPr>
                                <w:rFonts w:eastAsia="Times New Roman" w:cs="Calibri"/>
                                <w:b/>
                                <w:color w:val="000000"/>
                                <w:lang w:eastAsia="el-GR"/>
                              </w:rPr>
                              <w:t>ΤΗΛ.:  6983117770 σχ.</w:t>
                            </w:r>
                            <w:r>
                              <w:rPr>
                                <w:rFonts w:cs="Calibri"/>
                                <w:color w:val="000000"/>
                              </w:rPr>
                              <w:t xml:space="preserve"> </w:t>
                            </w:r>
                            <w:r>
                              <w:rPr>
                                <w:rFonts w:cs="Calibri"/>
                                <w:b/>
                                <w:color w:val="000000"/>
                              </w:rPr>
                              <w:t>7662883</w:t>
                            </w:r>
                            <w:r>
                              <w:rPr>
                                <w:rFonts w:cs="Calibri"/>
                                <w:color w:val="000000"/>
                              </w:rPr>
                              <w:t xml:space="preserve"> </w:t>
                            </w:r>
                            <w:r>
                              <w:rPr>
                                <w:rFonts w:eastAsia="Times New Roman" w:cs="Calibri"/>
                                <w:b/>
                                <w:color w:val="000000"/>
                                <w:lang w:eastAsia="el-GR"/>
                              </w:rPr>
                              <w:t>– 6947434724 σχ. 7214538</w:t>
                            </w:r>
                          </w:p>
                        </w:txbxContent>
                      </wps:txbx>
                      <wps:bodyPr lIns="0" rIns="0" tIns="0" bIns="0" anchor="t">
                        <a:noAutofit/>
                      </wps:bodyPr>
                    </wps:wsp>
                  </a:graphicData>
                </a:graphic>
              </wp:anchor>
            </w:drawing>
          </mc:Choice>
          <mc:Fallback>
            <w:pict>
              <v:rect id="shape_0" ID="Πλαίσιο1" path="m0,0l-2147483645,0l-2147483645,-2147483646l0,-2147483646xe" stroked="f" o:allowincell="f" style="position:absolute;margin-left:2.2pt;margin-top:0.5pt;width:357.2pt;height:116.05pt;mso-wrap-style:square;v-text-anchor:top">
                <v:fill o:detectmouseclick="t" on="false"/>
                <v:stroke color="#3465a4" joinstyle="round" endcap="flat"/>
                <v:textbox>
                  <w:txbxContent>
                    <w:p>
                      <w:pPr>
                        <w:pStyle w:val="Style17"/>
                        <w:spacing w:lineRule="auto" w:line="240" w:before="0" w:after="0"/>
                        <w:ind w:firstLine="720" w:start="720"/>
                        <w:jc w:val="center"/>
                        <w:rPr>
                          <w:rFonts w:cs="Calibri"/>
                          <w:b/>
                          <w:sz w:val="28"/>
                          <w:szCs w:val="28"/>
                          <w:lang w:eastAsia="el-GR"/>
                        </w:rPr>
                      </w:pPr>
                      <w:r>
                        <w:rPr>
                          <w:rFonts w:cs="Calibri"/>
                          <w:b/>
                          <w:color w:val="000000"/>
                          <w:sz w:val="28"/>
                          <w:szCs w:val="28"/>
                          <w:lang w:eastAsia="el-GR"/>
                        </w:rPr>
                        <w:t>ΣΥΛΛΟΓΟΣ ΕΚΠΑΙΔΕΥΤΙΚΩΝ Π.Ε.</w:t>
                      </w:r>
                    </w:p>
                    <w:p>
                      <w:pPr>
                        <w:pStyle w:val="Style17"/>
                        <w:spacing w:lineRule="auto" w:line="240" w:before="0" w:after="0"/>
                        <w:ind w:firstLine="720" w:start="720"/>
                        <w:jc w:val="center"/>
                        <w:rPr>
                          <w:rFonts w:eastAsia="Times New Roman" w:cs="Calibri"/>
                          <w:b/>
                          <w:sz w:val="28"/>
                          <w:szCs w:val="20"/>
                          <w:lang w:eastAsia="el-GR"/>
                        </w:rPr>
                      </w:pPr>
                      <w:r>
                        <w:rPr>
                          <w:rFonts w:eastAsia="Times New Roman" w:cs="Calibri"/>
                          <w:b/>
                          <w:color w:val="000000"/>
                          <w:sz w:val="28"/>
                          <w:szCs w:val="20"/>
                          <w:lang w:eastAsia="el-GR"/>
                        </w:rPr>
                        <w:t>ΒΥΡΩΝΑ - ΚΑΙΣΑΡΙΑΝΗΣ – ΠΑΓΚΡΑΤΙΟΥ</w:t>
                      </w:r>
                    </w:p>
                    <w:p>
                      <w:pPr>
                        <w:pStyle w:val="Style17"/>
                        <w:spacing w:lineRule="auto" w:line="240" w:before="0" w:after="0"/>
                        <w:ind w:firstLine="720"/>
                        <w:jc w:val="center"/>
                        <w:rPr>
                          <w:rFonts w:eastAsia="Times New Roman" w:cs="Calibri"/>
                          <w:b/>
                          <w:sz w:val="28"/>
                          <w:szCs w:val="20"/>
                          <w:lang w:eastAsia="el-GR"/>
                        </w:rPr>
                      </w:pPr>
                      <w:r>
                        <w:rPr>
                          <w:rFonts w:eastAsia="Times New Roman" w:cs="Calibri"/>
                          <w:b/>
                          <w:color w:val="000000"/>
                          <w:sz w:val="28"/>
                          <w:szCs w:val="20"/>
                          <w:lang w:eastAsia="el-GR"/>
                        </w:rPr>
                        <w:t>«ΡΟΖΑ ΙΜΒΡΙΩΤΗ»</w:t>
                      </w:r>
                    </w:p>
                    <w:p>
                      <w:pPr>
                        <w:pStyle w:val="Style17"/>
                        <w:spacing w:lineRule="auto" w:line="240" w:before="0" w:after="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rFonts w:eastAsia="Times New Roman" w:cs="Calibri"/>
                          <w:b/>
                          <w:sz w:val="24"/>
                          <w:szCs w:val="20"/>
                          <w:lang w:eastAsia="el-GR"/>
                        </w:rPr>
                      </w:pPr>
                      <w:r>
                        <w:rPr>
                          <w:rFonts w:eastAsia="Times New Roman" w:cs="Calibri"/>
                          <w:b/>
                          <w:color w:val="000000"/>
                          <w:sz w:val="24"/>
                          <w:szCs w:val="20"/>
                          <w:lang w:eastAsia="el-GR"/>
                        </w:rPr>
                        <w:t>Κωνσταντιλιέρη και Ερυθραίας - Βύρωνας</w:t>
                      </w:r>
                    </w:p>
                    <w:p>
                      <w:pPr>
                        <w:pStyle w:val="Style17"/>
                        <w:spacing w:lineRule="auto" w:line="240" w:before="0" w:after="0"/>
                        <w:ind w:firstLine="720" w:start="72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lang w:val="en-US"/>
                        </w:rPr>
                      </w:pPr>
                      <w:r>
                        <w:rPr>
                          <w:rFonts w:eastAsia="Times New Roman" w:cs="Calibri"/>
                          <w:b/>
                          <w:i/>
                          <w:color w:val="000000"/>
                          <w:sz w:val="24"/>
                          <w:szCs w:val="20"/>
                          <w:lang w:val="en-US" w:eastAsia="el-GR"/>
                        </w:rPr>
                        <w:t>Web: sylimvrioti.gr</w:t>
                        <w:tab/>
                        <w:t xml:space="preserve">e-mail: </w:t>
                      </w:r>
                      <w:hyperlink r:id="rId4">
                        <w:r>
                          <w:rPr>
                            <w:rStyle w:val="ListLabel28"/>
                            <w:rFonts w:eastAsia="Times New Roman" w:cs="Calibri"/>
                            <w:b/>
                            <w:i/>
                            <w:color w:val="000000"/>
                            <w:sz w:val="24"/>
                            <w:szCs w:val="20"/>
                            <w:lang w:val="en-US" w:eastAsia="el-GR"/>
                          </w:rPr>
                          <w:t>sylbox@sylimvrioti.gr</w:t>
                        </w:r>
                      </w:hyperlink>
                    </w:p>
                    <w:p>
                      <w:pPr>
                        <w:pStyle w:val="Style17"/>
                        <w:spacing w:lineRule="auto" w:line="240" w:before="0" w:after="0"/>
                        <w:ind w:start="1440"/>
                        <w:jc w:val="center"/>
                        <w:rPr>
                          <w:color w:val="000000"/>
                        </w:rPr>
                      </w:pPr>
                      <w:r>
                        <w:rPr>
                          <w:rFonts w:cs="Calibri"/>
                          <w:b/>
                          <w:color w:val="000000"/>
                          <w:sz w:val="24"/>
                          <w:szCs w:val="20"/>
                          <w:lang w:val="en-US" w:eastAsia="el-GR"/>
                        </w:rPr>
                        <w:t xml:space="preserve"> </w:t>
                      </w:r>
                      <w:r>
                        <w:rPr>
                          <w:rFonts w:eastAsia="Times New Roman" w:cs="Calibri"/>
                          <w:b/>
                          <w:color w:val="000000"/>
                          <w:sz w:val="24"/>
                          <w:szCs w:val="20"/>
                          <w:lang w:eastAsia="el-GR"/>
                        </w:rPr>
                        <w:t xml:space="preserve">ΠΛΗΡ.:  </w:t>
                      </w:r>
                      <w:r>
                        <w:rPr>
                          <w:rFonts w:eastAsia="Times New Roman" w:cs="Calibri"/>
                          <w:b/>
                          <w:color w:val="000000"/>
                          <w:lang w:eastAsia="el-GR"/>
                        </w:rPr>
                        <w:t xml:space="preserve">Δριμάλα Θεοδώρα   –   </w:t>
                      </w:r>
                      <w:r>
                        <w:rPr>
                          <w:rFonts w:cs="Calibri"/>
                          <w:b/>
                          <w:color w:val="000000"/>
                        </w:rPr>
                        <w:t>Γλαβίνα Σουζάνα</w:t>
                      </w:r>
                    </w:p>
                    <w:p>
                      <w:pPr>
                        <w:pStyle w:val="Style17"/>
                        <w:spacing w:lineRule="auto" w:line="240" w:before="0" w:after="0"/>
                        <w:ind w:start="1440"/>
                        <w:jc w:val="center"/>
                        <w:rPr>
                          <w:color w:val="000000"/>
                        </w:rPr>
                      </w:pPr>
                      <w:r>
                        <w:rPr>
                          <w:rFonts w:cs="Calibri"/>
                          <w:b/>
                          <w:color w:val="000000"/>
                          <w:lang w:eastAsia="el-GR"/>
                        </w:rPr>
                        <w:t xml:space="preserve"> </w:t>
                      </w:r>
                      <w:r>
                        <w:rPr>
                          <w:rFonts w:eastAsia="Times New Roman" w:cs="Calibri"/>
                          <w:b/>
                          <w:color w:val="000000"/>
                          <w:lang w:eastAsia="el-GR"/>
                        </w:rPr>
                        <w:t>ΤΗΛ.:  6983117770 σχ.</w:t>
                      </w:r>
                      <w:r>
                        <w:rPr>
                          <w:rFonts w:cs="Calibri"/>
                          <w:color w:val="000000"/>
                        </w:rPr>
                        <w:t xml:space="preserve"> </w:t>
                      </w:r>
                      <w:r>
                        <w:rPr>
                          <w:rFonts w:cs="Calibri"/>
                          <w:b/>
                          <w:color w:val="000000"/>
                        </w:rPr>
                        <w:t>7662883</w:t>
                      </w:r>
                      <w:r>
                        <w:rPr>
                          <w:rFonts w:cs="Calibri"/>
                          <w:color w:val="000000"/>
                        </w:rPr>
                        <w:t xml:space="preserve"> </w:t>
                      </w:r>
                      <w:r>
                        <w:rPr>
                          <w:rFonts w:eastAsia="Times New Roman" w:cs="Calibri"/>
                          <w:b/>
                          <w:color w:val="000000"/>
                          <w:lang w:eastAsia="el-GR"/>
                        </w:rPr>
                        <w:t>– 6947434724 σχ. 7214538</w:t>
                      </w:r>
                    </w:p>
                  </w:txbxContent>
                </v:textbox>
                <w10:wrap type="square" side="largest"/>
              </v:rect>
            </w:pict>
          </mc:Fallback>
        </mc:AlternateContent>
      </w:r>
      <w:r>
        <w:rPr>
          <w:rFonts w:eastAsia="Times New Roman" w:cs="Calibri"/>
          <w:b/>
          <w:sz w:val="24"/>
          <w:szCs w:val="20"/>
          <w:lang w:eastAsia="el-GR"/>
        </w:rPr>
        <w:t xml:space="preserve">Βύρωνας </w:t>
      </w:r>
      <w:r>
        <w:rPr>
          <w:rFonts w:eastAsia="Times New Roman" w:cs="Calibri"/>
          <w:b/>
          <w:sz w:val="24"/>
          <w:szCs w:val="20"/>
          <w:lang w:eastAsia="el-GR"/>
        </w:rPr>
        <w:t>17</w:t>
      </w:r>
      <w:r>
        <w:rPr>
          <w:rFonts w:eastAsia="Times New Roman" w:cs="Calibri"/>
          <w:b/>
          <w:sz w:val="24"/>
          <w:szCs w:val="20"/>
          <w:lang w:eastAsia="el-GR"/>
        </w:rPr>
        <w:t>/2/202</w:t>
      </w:r>
      <w:bookmarkStart w:id="0" w:name="_GoBack"/>
      <w:bookmarkEnd w:id="0"/>
      <w:r>
        <w:rPr>
          <w:rFonts w:eastAsia="Times New Roman" w:cs="Calibri"/>
          <w:b/>
          <w:sz w:val="24"/>
          <w:szCs w:val="20"/>
          <w:lang w:eastAsia="el-GR"/>
        </w:rPr>
        <w:t>6</w:t>
        <w:br/>
      </w:r>
      <w:r>
        <w:rPr>
          <w:rFonts w:eastAsia="Times New Roman"/>
          <w:b/>
          <w:sz w:val="24"/>
          <w:szCs w:val="20"/>
        </w:rPr>
        <w:t xml:space="preserve">Αριθ. Πρωτ.: </w:t>
      </w:r>
      <w:r>
        <w:rPr>
          <w:rFonts w:eastAsia="Times New Roman"/>
          <w:b/>
          <w:sz w:val="24"/>
          <w:szCs w:val="20"/>
        </w:rPr>
        <w:t>59</w:t>
      </w:r>
      <w:r>
        <w:rPr>
          <w:rFonts w:eastAsia="Times New Roman"/>
          <w:b/>
          <w:sz w:val="24"/>
          <w:szCs w:val="20"/>
        </w:rPr>
        <w:br/>
      </w:r>
      <w:r>
        <w:rPr>
          <w:rFonts w:eastAsia="Times New Roman" w:cs="Calibri"/>
          <w:b/>
          <w:sz w:val="24"/>
          <w:szCs w:val="20"/>
          <w:lang w:eastAsia="el-GR"/>
        </w:rPr>
        <w:t>ΠΡΟΣ: Μέλη μας</w:t>
      </w:r>
    </w:p>
    <w:p>
      <w:pPr>
        <w:pStyle w:val="Normal"/>
        <w:spacing w:lineRule="auto" w:line="240" w:before="0" w:after="0"/>
        <w:rPr/>
      </w:pPr>
      <w:r>
        <w:rPr>
          <w:rFonts w:eastAsia="Times New Roman" w:cs="Calibri"/>
          <w:b/>
          <w:sz w:val="24"/>
          <w:szCs w:val="20"/>
          <w:lang w:eastAsia="el-GR"/>
        </w:rPr>
        <w:t xml:space="preserve">ΚΟΙΝ.: Ενώσεις Συλλόγους Γονέων, ΔΟΕ, </w:t>
      </w:r>
      <w:r>
        <w:rPr>
          <w:rFonts w:eastAsia="Times New Roman" w:cs="Calibri"/>
          <w:b/>
          <w:sz w:val="24"/>
          <w:szCs w:val="20"/>
          <w:lang w:eastAsia="el-GR"/>
        </w:rPr>
        <w:t>…ΜΜΕ</w:t>
        <w:br/>
      </w:r>
    </w:p>
    <w:p>
      <w:pPr>
        <w:pStyle w:val="Normal"/>
        <w:spacing w:lineRule="auto" w:line="240" w:before="0" w:after="0"/>
        <w:jc w:val="end"/>
        <w:rPr/>
      </w:pPr>
      <w:r>
        <w:rPr>
          <w:rFonts w:eastAsia="Times New Roman" w:cs="Calibri"/>
          <w:i/>
          <w:iCs/>
          <w:sz w:val="24"/>
          <w:szCs w:val="20"/>
          <w:lang w:eastAsia="el-GR"/>
        </w:rPr>
        <w:t>46ο</w:t>
      </w:r>
      <w:r>
        <w:rPr>
          <w:rFonts w:cs="Calibri"/>
          <w:i/>
          <w:iCs/>
        </w:rPr>
        <w:t xml:space="preserve"> Ενημερωτικό</w:t>
      </w:r>
    </w:p>
    <w:p>
      <w:pPr>
        <w:pStyle w:val="Normal"/>
        <w:spacing w:lineRule="auto" w:line="240" w:before="0" w:after="0"/>
        <w:jc w:val="end"/>
        <w:rPr>
          <w:rFonts w:cs="Calibri"/>
          <w:i/>
          <w:i/>
          <w:iCs/>
        </w:rPr>
      </w:pPr>
      <w:r>
        <w:rPr>
          <w:rFonts w:cs="Calibri"/>
          <w:i/>
          <w:iCs/>
        </w:rPr>
      </w:r>
    </w:p>
    <w:p>
      <w:pPr>
        <w:pStyle w:val="NormalWeb"/>
        <w:spacing w:lineRule="atLeast" w:line="240" w:before="57" w:after="0"/>
        <w:jc w:val="both"/>
        <w:rPr>
          <w:sz w:val="4"/>
          <w:szCs w:val="4"/>
        </w:rPr>
      </w:pPr>
      <w:r>
        <w:rPr>
          <w:sz w:val="4"/>
          <w:szCs w:val="4"/>
        </w:rPr>
      </w:r>
    </w:p>
    <w:p>
      <w:pPr>
        <w:pStyle w:val="Normal"/>
        <w:spacing w:lineRule="auto" w:line="276" w:before="0" w:after="113"/>
        <w:jc w:val="center"/>
        <w:rPr>
          <w:rFonts w:ascii="Cambria Math" w:hAnsi="Cambria Math"/>
          <w:sz w:val="36"/>
          <w:szCs w:val="36"/>
        </w:rPr>
      </w:pPr>
      <w:r>
        <w:rPr>
          <w:rFonts w:cs="Times New Roman" w:ascii="Cambria Math" w:hAnsi="Cambria Math"/>
          <w:b/>
          <w:sz w:val="36"/>
          <w:szCs w:val="36"/>
          <w:lang w:val="el-GR"/>
        </w:rPr>
        <w:t>ΟΧΙ στο “Εθνικό Απολυτήριο” και στο σχολείο εξεταστικό κάτεργο!</w:t>
        <w:br/>
        <w:t>ΝΑΙ στο σχολείο της ολόπλευρης μόρφωσης για όλα τα παιδιά!</w:t>
      </w:r>
    </w:p>
    <w:p>
      <w:pPr>
        <w:pStyle w:val="Normal"/>
        <w:spacing w:lineRule="auto" w:line="276" w:before="0" w:after="85"/>
        <w:jc w:val="both"/>
        <w:rPr/>
      </w:pPr>
      <w:r>
        <w:rPr>
          <w:rFonts w:cs="Times New Roman" w:ascii="Cambria Math" w:hAnsi="Cambria Math"/>
          <w:sz w:val="25"/>
          <w:szCs w:val="25"/>
          <w:lang w:val="el-GR"/>
        </w:rPr>
        <w:t>Συναδέλφισσες, Συνάδελφοι, Γονείς των Μαθητών μας,</w:t>
      </w:r>
    </w:p>
    <w:p>
      <w:pPr>
        <w:pStyle w:val="Normal"/>
        <w:spacing w:lineRule="auto" w:line="276" w:before="0" w:after="85"/>
        <w:jc w:val="both"/>
        <w:rPr/>
      </w:pPr>
      <w:r>
        <w:rPr>
          <w:rFonts w:cs="Times New Roman" w:ascii="Cambria Math" w:hAnsi="Cambria Math"/>
          <w:sz w:val="25"/>
          <w:szCs w:val="25"/>
          <w:lang w:val="el-GR"/>
        </w:rPr>
        <w:t>Η κυβέρνηση της ΝΔ ξεκίνησε τον διάλογο για το “Εθνικό Απολυτήριο”. Με την ψήφισή του αναμένεται να διαμορφωθεί</w:t>
      </w:r>
      <w:r>
        <w:rPr>
          <w:rFonts w:cs="Times New Roman" w:ascii="Cambria Math" w:hAnsi="Cambria Math"/>
          <w:b/>
          <w:sz w:val="25"/>
          <w:szCs w:val="25"/>
          <w:lang w:val="el-GR"/>
        </w:rPr>
        <w:t xml:space="preserve"> </w:t>
      </w:r>
      <w:r>
        <w:rPr>
          <w:rFonts w:cs="Times New Roman" w:ascii="Cambria Math" w:hAnsi="Cambria Math"/>
          <w:b w:val="false"/>
          <w:bCs/>
          <w:sz w:val="25"/>
          <w:szCs w:val="25"/>
          <w:lang w:val="el-GR"/>
        </w:rPr>
        <w:t>ένα εξαντλητικό πλέγμα πολλαπλών εξετάσεων για τρία σχολικά χρόνια και ως εκ τούτου, ένας μηχανισμός ταξινόμησης και αποκλεισμού μαθητών από το δικαίωμα στη μόρφωση</w:t>
      </w:r>
      <w:r>
        <w:rPr>
          <w:rFonts w:cs="Times New Roman" w:ascii="Cambria Math" w:hAnsi="Cambria Math"/>
          <w:b/>
          <w:sz w:val="25"/>
          <w:szCs w:val="25"/>
          <w:lang w:val="el-GR"/>
        </w:rPr>
        <w:t xml:space="preserve">. </w:t>
      </w:r>
      <w:r>
        <w:rPr>
          <w:rFonts w:cs="Times New Roman" w:ascii="Cambria Math" w:hAnsi="Cambria Math"/>
          <w:b w:val="false"/>
          <w:bCs/>
          <w:sz w:val="25"/>
          <w:szCs w:val="25"/>
          <w:lang w:val="el-GR"/>
        </w:rPr>
        <w:t>Μεταξύ άλλων προβλέπεται:</w:t>
      </w:r>
    </w:p>
    <w:p>
      <w:pPr>
        <w:pStyle w:val="ListParagraph"/>
        <w:numPr>
          <w:ilvl w:val="0"/>
          <w:numId w:val="2"/>
        </w:numPr>
        <w:spacing w:lineRule="auto" w:line="276" w:before="0" w:after="85"/>
        <w:ind w:hanging="420" w:start="420"/>
        <w:contextualSpacing w:val="false"/>
        <w:jc w:val="both"/>
        <w:rPr/>
      </w:pPr>
      <w:r>
        <w:rPr>
          <w:rFonts w:cs="Times New Roman" w:ascii="Cambria Math" w:hAnsi="Cambria Math"/>
          <w:b/>
          <w:bCs/>
          <w:sz w:val="25"/>
          <w:szCs w:val="25"/>
          <w:lang w:val="el-GR"/>
        </w:rPr>
        <w:t>Ο συνυπολογισμός της επίδοσης και των τριών τάξεων του Λυκείου στον τελικό βαθμό απολυτηρίου</w:t>
      </w:r>
      <w:r>
        <w:rPr>
          <w:rFonts w:cs="Times New Roman" w:ascii="Cambria Math" w:hAnsi="Cambria Math"/>
          <w:sz w:val="25"/>
          <w:szCs w:val="25"/>
          <w:lang w:val="el-GR"/>
        </w:rPr>
        <w:t xml:space="preserve">, </w:t>
      </w:r>
      <w:r>
        <w:rPr>
          <w:rFonts w:cs="Times New Roman" w:ascii="Cambria Math" w:hAnsi="Cambria Math"/>
          <w:sz w:val="25"/>
          <w:szCs w:val="25"/>
          <w:u w:val="single"/>
          <w:lang w:val="el-GR"/>
        </w:rPr>
        <w:t xml:space="preserve">με διαφορετικούς συντελεστές ανά τάξη, ο οποίος, </w:t>
      </w:r>
      <w:r>
        <w:rPr>
          <w:rFonts w:cs="Times New Roman" w:ascii="Cambria Math" w:hAnsi="Cambria Math"/>
          <w:b/>
          <w:bCs/>
          <w:sz w:val="25"/>
          <w:szCs w:val="25"/>
          <w:u w:val="single"/>
          <w:lang w:val="el-GR"/>
        </w:rPr>
        <w:t>μαζί με τον βαθμό των Πανελλαδικών Εξετάσεων της Γ’ Λυκείου</w:t>
      </w:r>
      <w:r>
        <w:rPr>
          <w:rFonts w:cs="Times New Roman" w:ascii="Cambria Math" w:hAnsi="Cambria Math"/>
          <w:sz w:val="25"/>
          <w:szCs w:val="25"/>
          <w:u w:val="single"/>
          <w:lang w:val="el-GR"/>
        </w:rPr>
        <w:t>, θα καθορίζει την πρόσβαση στα Πανεπιστήμια.</w:t>
      </w:r>
    </w:p>
    <w:p>
      <w:pPr>
        <w:pStyle w:val="ListParagraph"/>
        <w:numPr>
          <w:ilvl w:val="0"/>
          <w:numId w:val="2"/>
        </w:numPr>
        <w:spacing w:lineRule="auto" w:line="276" w:before="0" w:after="85"/>
        <w:ind w:hanging="420" w:start="420"/>
        <w:contextualSpacing w:val="false"/>
        <w:jc w:val="both"/>
        <w:rPr/>
      </w:pPr>
      <w:r>
        <w:rPr>
          <w:rFonts w:cs="Times New Roman" w:ascii="Cambria Math" w:hAnsi="Cambria Math"/>
          <w:b/>
          <w:bCs/>
          <w:sz w:val="25"/>
          <w:szCs w:val="25"/>
          <w:lang w:val="el-GR"/>
        </w:rPr>
        <w:t>Υποχρεωτικές γραπτές «προαγωγικές» εξετάσεις από τάξη σε τάξη, με πανελλαδικού τύπου εξεταστικές διαδικασίες.</w:t>
      </w:r>
    </w:p>
    <w:p>
      <w:pPr>
        <w:pStyle w:val="ListParagraph"/>
        <w:numPr>
          <w:ilvl w:val="0"/>
          <w:numId w:val="2"/>
        </w:numPr>
        <w:spacing w:lineRule="auto" w:line="276" w:before="0" w:after="85"/>
        <w:ind w:hanging="420" w:start="420"/>
        <w:contextualSpacing w:val="false"/>
        <w:jc w:val="both"/>
        <w:rPr/>
      </w:pPr>
      <w:r>
        <w:rPr>
          <w:rFonts w:cs="Times New Roman" w:ascii="Cambria Math" w:hAnsi="Cambria Math"/>
          <w:b/>
          <w:bCs/>
          <w:sz w:val="25"/>
          <w:szCs w:val="25"/>
          <w:lang w:val="el-GR"/>
        </w:rPr>
        <w:t>Ενίσχυση της Τράπεζας Θεμάτων</w:t>
      </w:r>
      <w:r>
        <w:rPr>
          <w:rFonts w:cs="Times New Roman" w:ascii="Cambria Math" w:hAnsi="Cambria Math"/>
          <w:sz w:val="25"/>
          <w:szCs w:val="25"/>
          <w:lang w:val="el-GR"/>
        </w:rPr>
        <w:t>, από την οποία θα προκύπτουν, με κλήρωση, όλα τα ερωτήματα για τους μαθητές, αποκλείοντας πλήρως τη συμβολή των καθηγητών κάθε σχολείου στη διαμόρφωση των θεμάτων.</w:t>
      </w:r>
    </w:p>
    <w:p>
      <w:pPr>
        <w:pStyle w:val="ListParagraph"/>
        <w:numPr>
          <w:ilvl w:val="0"/>
          <w:numId w:val="0"/>
        </w:numPr>
        <w:spacing w:lineRule="auto" w:line="276" w:before="0" w:after="85"/>
        <w:ind w:hanging="0" w:start="0"/>
        <w:contextualSpacing w:val="false"/>
        <w:jc w:val="both"/>
        <w:rPr/>
      </w:pPr>
      <w:r>
        <w:rPr>
          <w:rFonts w:cs="Times New Roman" w:ascii="Cambria Math" w:hAnsi="Cambria Math"/>
          <w:b w:val="false"/>
          <w:bCs/>
          <w:sz w:val="25"/>
          <w:szCs w:val="25"/>
          <w:u w:val="none"/>
          <w:lang w:val="el-GR"/>
        </w:rPr>
        <w:t>Γ</w:t>
      </w:r>
      <w:r>
        <w:rPr>
          <w:rFonts w:cs="Times New Roman" w:ascii="Cambria Math" w:hAnsi="Cambria Math"/>
          <w:b/>
          <w:bCs/>
          <w:sz w:val="25"/>
          <w:szCs w:val="25"/>
          <w:u w:val="none"/>
          <w:lang w:val="el-GR"/>
        </w:rPr>
        <w:t xml:space="preserve">ίνεται ξεκάθαρο, ότι η σχολική ζωή θα “γεμίσει” με </w:t>
      </w:r>
      <w:r>
        <w:rPr>
          <w:rFonts w:cs="Times New Roman" w:ascii="Cambria Math" w:hAnsi="Cambria Math"/>
          <w:b/>
          <w:bCs/>
          <w:sz w:val="25"/>
          <w:szCs w:val="25"/>
          <w:lang w:val="el-GR"/>
        </w:rPr>
        <w:t xml:space="preserve"> αλλεπάλληλες γραπτές δοκιμασίες, με παράλληλη μετατόπιση του βάρους, στη μονότονη αποστήθιση και στον διαρκή ανταγωνισμό.</w:t>
      </w:r>
      <w:r>
        <w:rPr>
          <w:rFonts w:cs="Times New Roman" w:ascii="Cambria Math" w:hAnsi="Cambria Math"/>
          <w:sz w:val="25"/>
          <w:szCs w:val="25"/>
          <w:lang w:val="el-GR"/>
        </w:rPr>
        <w:t xml:space="preserve"> Εξ’ άλλου η</w:t>
      </w:r>
      <w:bookmarkStart w:id="1" w:name="%25252525_1_Αντίγραφο_1"/>
      <w:bookmarkEnd w:id="1"/>
      <w:r>
        <w:rPr>
          <w:rFonts w:cs="Times New Roman" w:ascii="Cambria Math" w:hAnsi="Cambria Math"/>
          <w:b w:val="false"/>
          <w:bCs/>
          <w:sz w:val="25"/>
          <w:szCs w:val="25"/>
          <w:lang w:val="el-GR"/>
        </w:rPr>
        <w:t xml:space="preserve"> εμπειρία από την εφαρμογή της Τράπεζας Θεμάτων δείχνει ότι στο σημερινό σχολείο, κυριαρχούν ο φορμαλισμός, η παπαγαλία και η στείρα εφαρμογή «μεθοδολογιών»,</w:t>
      </w:r>
      <w:r>
        <w:rPr>
          <w:rFonts w:cs="Times New Roman" w:ascii="Cambria Math" w:hAnsi="Cambria Math"/>
          <w:b/>
          <w:sz w:val="25"/>
          <w:szCs w:val="25"/>
          <w:lang w:val="el-GR"/>
        </w:rPr>
        <w:t xml:space="preserve"> </w:t>
      </w:r>
      <w:r>
        <w:rPr>
          <w:rFonts w:cs="Times New Roman" w:ascii="Cambria Math" w:hAnsi="Cambria Math"/>
          <w:sz w:val="25"/>
          <w:szCs w:val="25"/>
          <w:lang w:val="el-GR"/>
        </w:rPr>
        <w:t>εις βάρος της εμβάθυνσης, της κατανόησης βασικών εννοιών και της ουσιαστικής προσέγγισης των επιστημών. Η ένταση του εξετασιοκεντρικού χαρακτήρα του σχολείου θα υπονομεύσει</w:t>
      </w:r>
      <w:r>
        <w:rPr>
          <w:rFonts w:cs="Times New Roman" w:ascii="Cambria Math" w:hAnsi="Cambria Math"/>
          <w:color w:val="FF0000"/>
          <w:sz w:val="25"/>
          <w:szCs w:val="25"/>
          <w:lang w:val="el-GR"/>
        </w:rPr>
        <w:t xml:space="preserve"> </w:t>
      </w:r>
      <w:r>
        <w:rPr>
          <w:rFonts w:cs="Times New Roman" w:ascii="Cambria Math" w:hAnsi="Cambria Math"/>
          <w:color w:themeColor="text1" w:val="000000"/>
          <w:sz w:val="25"/>
          <w:szCs w:val="25"/>
          <w:lang w:val="el-GR"/>
          <w14:textFill>
            <w14:solidFill>
              <w14:schemeClr w14:val="tx1"/>
            </w14:solidFill>
          </w14:textFill>
        </w:rPr>
        <w:t>τη</w:t>
      </w:r>
      <w:r>
        <w:rPr>
          <w:rFonts w:cs="Times New Roman" w:ascii="Cambria Math" w:hAnsi="Cambria Math"/>
          <w:color w:val="FF0000"/>
          <w:sz w:val="25"/>
          <w:szCs w:val="25"/>
          <w:lang w:val="el-GR"/>
        </w:rPr>
        <w:t xml:space="preserve"> </w:t>
      </w:r>
      <w:r>
        <w:rPr>
          <w:rFonts w:cs="Times New Roman" w:ascii="Cambria Math" w:hAnsi="Cambria Math"/>
          <w:sz w:val="25"/>
          <w:szCs w:val="25"/>
          <w:lang w:val="el-GR"/>
        </w:rPr>
        <w:t>συναισθηματική και ψυχοκινητική ανάπτυξη, τη συλλογικότητα εντός σχολείου, ενώ θα στερήσει ακόμη περισσότερο από τον ελεύθερο χρόνο των μαθητών .</w:t>
      </w:r>
      <w:r>
        <w:rPr>
          <w:rFonts w:cs="Times New Roman" w:ascii="Cambria Math" w:hAnsi="Cambria Math"/>
          <w:color w:val="FF0000"/>
          <w:sz w:val="25"/>
          <w:szCs w:val="25"/>
          <w:lang w:val="el-GR"/>
        </w:rPr>
        <w:t xml:space="preserve"> </w:t>
      </w:r>
      <w:r>
        <w:rPr>
          <w:rFonts w:cs="Times New Roman" w:ascii="Cambria Math" w:hAnsi="Cambria Math"/>
          <w:sz w:val="25"/>
          <w:szCs w:val="25"/>
          <w:lang w:val="el-GR"/>
        </w:rPr>
        <w:t xml:space="preserve">Σε αυτές τις συνθήκες θα ακυρωθεί και ο ρόλος του εκπαιδευτικού της τάξης με αντικατάσταση της παιδαγωγικής του κρίσης από προκαθορισμένα θέματα και μηχανιστικές διαδικασίες, </w:t>
      </w:r>
    </w:p>
    <w:p>
      <w:pPr>
        <w:pStyle w:val="Normal"/>
        <w:spacing w:lineRule="auto" w:line="276" w:before="0" w:after="85"/>
        <w:jc w:val="both"/>
        <w:rPr/>
      </w:pPr>
      <w:r>
        <w:rPr>
          <w:rFonts w:cs="Times New Roman" w:ascii="Cambria Math" w:hAnsi="Cambria Math"/>
          <w:sz w:val="25"/>
          <w:szCs w:val="25"/>
          <w:lang w:val="el-GR"/>
        </w:rPr>
        <w:t xml:space="preserve">Επιπλέον, </w:t>
      </w:r>
      <w:r>
        <w:rPr>
          <w:rFonts w:cs="Times New Roman" w:ascii="Cambria Math" w:hAnsi="Cambria Math"/>
          <w:b/>
          <w:bCs/>
          <w:sz w:val="25"/>
          <w:szCs w:val="25"/>
          <w:lang w:val="el-GR"/>
        </w:rPr>
        <w:t>ο ανταγωνισμός για τον καλύτερο βαθμό και κατάταξη, αναμένεται να μεγαλώσει την αγορά των φροντιστηρίων και των ιδιαίτερων</w:t>
      </w:r>
      <w:r>
        <w:rPr>
          <w:rFonts w:cs="Times New Roman" w:ascii="Cambria Math" w:hAnsi="Cambria Math"/>
          <w:sz w:val="25"/>
          <w:szCs w:val="25"/>
          <w:lang w:val="el-GR"/>
        </w:rPr>
        <w:t xml:space="preserve">. Έτσι </w:t>
      </w:r>
      <w:r>
        <w:rPr>
          <w:rFonts w:cs="Times New Roman" w:ascii="Cambria Math" w:hAnsi="Cambria Math"/>
          <w:b/>
          <w:bCs/>
          <w:sz w:val="25"/>
          <w:szCs w:val="25"/>
          <w:lang w:val="el-GR"/>
        </w:rPr>
        <w:t>οι λαϊκές οικογένειες θα χρειαστεί να βάλουν ακόμα πιο βαθιά το χέρι στην τσέπη</w:t>
      </w:r>
      <w:r>
        <w:rPr>
          <w:rFonts w:cs="Times New Roman" w:ascii="Cambria Math" w:hAnsi="Cambria Math"/>
          <w:sz w:val="25"/>
          <w:szCs w:val="25"/>
          <w:lang w:val="el-GR"/>
        </w:rPr>
        <w:t xml:space="preserve">, σε περίοδο που ήδη πιέζονται από το κόστος στέγης, ενέργειας, μετακίνησης και βασικών αγαθών. Παράλληλα, </w:t>
      </w:r>
      <w:r>
        <w:rPr>
          <w:rFonts w:cs="Times New Roman" w:ascii="Cambria Math" w:hAnsi="Cambria Math"/>
          <w:b/>
          <w:bCs/>
          <w:sz w:val="25"/>
          <w:szCs w:val="25"/>
          <w:lang w:val="el-GR"/>
        </w:rPr>
        <w:t>όσο λόγω των εξαντλητικών εξετάσεων θα δυσκολεύει η πρόσβαση στα δημόσια ΑΕΙ, τόσο θα διευρύνεται το πεδίο για τις δομές κατάρτισης και επαγγελματικής εκπαίδευσης</w:t>
      </w:r>
      <w:r>
        <w:rPr>
          <w:rFonts w:cs="Times New Roman" w:ascii="Cambria Math" w:hAnsi="Cambria Math"/>
          <w:sz w:val="25"/>
          <w:szCs w:val="25"/>
          <w:lang w:val="el-GR"/>
        </w:rPr>
        <w:t xml:space="preserve">, </w:t>
      </w:r>
      <w:r>
        <w:rPr>
          <w:rFonts w:cs="Times New Roman" w:ascii="Cambria Math" w:hAnsi="Cambria Math"/>
          <w:b/>
          <w:bCs/>
          <w:sz w:val="25"/>
          <w:szCs w:val="25"/>
          <w:lang w:val="el-GR"/>
        </w:rPr>
        <w:t>εξυπηρετώντας την ανάγκη της αγοράς για φθηνό και ευέλικτο εργατικό δυναμικό.</w:t>
      </w:r>
      <w:r>
        <w:rPr>
          <w:rFonts w:cs="Times New Roman" w:ascii="Cambria Math" w:hAnsi="Cambria Math"/>
          <w:sz w:val="25"/>
          <w:szCs w:val="25"/>
          <w:lang w:val="el-GR"/>
        </w:rPr>
        <w:t xml:space="preserve"> Άλλωστε, είναι </w:t>
      </w:r>
      <w:r>
        <w:rPr>
          <w:rFonts w:cs="Times New Roman" w:ascii="Cambria Math" w:hAnsi="Cambria Math"/>
          <w:b w:val="false"/>
          <w:bCs w:val="false"/>
          <w:sz w:val="25"/>
          <w:szCs w:val="25"/>
          <w:lang w:val="el-GR"/>
        </w:rPr>
        <w:t>διακηρυγμένος στόχος όλων των κυβερνήσεων τα τελευταία χρόνια, να αντιστραφεί η σχέση του ποσοστού των μαθητών που προσανατολίζονται στην τεχνική εκπαίδευση, σε σχέση με τη γενική, που είναι άλλωστε και στρατηγική της ΕΕ.</w:t>
      </w:r>
    </w:p>
    <w:p>
      <w:pPr>
        <w:pStyle w:val="Normal"/>
        <w:spacing w:lineRule="auto" w:line="276" w:before="0" w:after="85"/>
        <w:jc w:val="both"/>
        <w:rPr/>
      </w:pPr>
      <w:r>
        <w:rPr>
          <w:rFonts w:cs="Times New Roman" w:ascii="Cambria Math" w:hAnsi="Cambria Math"/>
          <w:sz w:val="25"/>
          <w:szCs w:val="25"/>
          <w:lang w:val="el-GR"/>
        </w:rPr>
        <w:t xml:space="preserve">Την ίδια ώρα, </w:t>
      </w:r>
      <w:r>
        <w:rPr>
          <w:rFonts w:cs="Times New Roman" w:ascii="Cambria Math" w:hAnsi="Cambria Math"/>
          <w:b/>
          <w:bCs/>
          <w:sz w:val="25"/>
          <w:szCs w:val="25"/>
          <w:lang w:val="el-GR"/>
        </w:rPr>
        <w:t>η κυβέρνηση, μέσω της συνταγματικής αναθεώρησης, επιδιώκει την πλήρη κατάργηση του άρθρου 16, ώστε να απελευθερωθεί ολοκληρωτικά η αγορά της τριτοβάθμιας εκπαίδευσης.</w:t>
      </w:r>
      <w:r>
        <w:rPr>
          <w:rFonts w:cs="Times New Roman" w:ascii="Cambria Math" w:hAnsi="Cambria Math"/>
          <w:sz w:val="25"/>
          <w:szCs w:val="25"/>
          <w:lang w:val="el-GR"/>
        </w:rPr>
        <w:t xml:space="preserve"> </w:t>
      </w:r>
      <w:r>
        <w:rPr>
          <w:rFonts w:cs="Times New Roman" w:ascii="Cambria Math" w:hAnsi="Cambria Math"/>
          <w:b/>
          <w:bCs/>
          <w:sz w:val="25"/>
          <w:szCs w:val="25"/>
          <w:lang w:val="el-GR"/>
        </w:rPr>
        <w:t>Να ανοίξει δηλαδή ο δρόμος για ιδιωτικά πανεπιστήμια</w:t>
      </w:r>
      <w:r>
        <w:rPr>
          <w:rFonts w:cs="Times New Roman" w:ascii="Cambria Math" w:hAnsi="Cambria Math"/>
          <w:sz w:val="25"/>
          <w:szCs w:val="25"/>
          <w:lang w:val="el-GR"/>
        </w:rPr>
        <w:t xml:space="preserve"> και προγράμματα σπουδών με δίδακτρα, που ήδη αναπτύσσονται με ταχύτητα και παρουσιάζονται προκλητικά ως “εναλλακτικές διαδρομές”. </w:t>
      </w:r>
      <w:r>
        <w:rPr>
          <w:rFonts w:cs="Times New Roman" w:ascii="Cambria Math" w:hAnsi="Cambria Math"/>
          <w:b/>
          <w:bCs/>
          <w:sz w:val="25"/>
          <w:szCs w:val="25"/>
          <w:lang w:val="el-GR"/>
        </w:rPr>
        <w:t>Θα σπουδάζει όποιος έχει να πληρώσει! Το παράδειγμα της Ιατρικής είναι αποκαλυπτικό:</w:t>
      </w:r>
      <w:r>
        <w:rPr>
          <w:rFonts w:cs="Times New Roman" w:ascii="Cambria Math" w:hAnsi="Cambria Math"/>
          <w:sz w:val="25"/>
          <w:szCs w:val="25"/>
          <w:lang w:val="el-GR"/>
        </w:rPr>
        <w:t xml:space="preserve"> με 19.000 μόρια μπαίνεις στην Αθήνα, ενώ με 11,98 στα 20 και μερικές χιλιάδες ευρώ τον χρόνο γίνεσαι γιατρός στην Κύπρο!</w:t>
      </w:r>
    </w:p>
    <w:p>
      <w:pPr>
        <w:pStyle w:val="NormalWeb"/>
        <w:spacing w:lineRule="auto" w:line="276" w:beforeAutospacing="0" w:before="0" w:afterAutospacing="0" w:after="85"/>
        <w:jc w:val="both"/>
        <w:rPr/>
      </w:pPr>
      <w:r>
        <w:rPr>
          <w:rFonts w:ascii="Cambria Math" w:hAnsi="Cambria Math"/>
          <w:b/>
          <w:bCs/>
          <w:sz w:val="25"/>
          <w:szCs w:val="25"/>
          <w:lang w:val="el-GR"/>
        </w:rPr>
        <w:t xml:space="preserve">Το σύστημα του εθνικού απολυτηρίου δεν είναι ελληνικό φαινόμενο. </w:t>
      </w:r>
      <w:r>
        <w:rPr>
          <w:rFonts w:ascii="Cambria Math" w:hAnsi="Cambria Math"/>
          <w:b/>
          <w:bCs/>
          <w:sz w:val="25"/>
          <w:szCs w:val="25"/>
        </w:rPr>
        <w:t xml:space="preserve">Η διεθνής εμπειρία είναι </w:t>
      </w:r>
      <w:r>
        <w:rPr>
          <w:rFonts w:ascii="Cambria Math" w:hAnsi="Cambria Math"/>
          <w:b/>
          <w:bCs/>
          <w:sz w:val="25"/>
          <w:szCs w:val="25"/>
          <w:lang w:val="el-GR"/>
        </w:rPr>
        <w:t>αποκαλυπτική!</w:t>
      </w:r>
      <w:r>
        <w:rPr>
          <w:rFonts w:ascii="Cambria Math" w:hAnsi="Cambria Math"/>
          <w:b w:val="false"/>
          <w:bCs/>
          <w:sz w:val="25"/>
          <w:szCs w:val="25"/>
          <w:lang w:val="el-GR"/>
        </w:rPr>
        <w:t xml:space="preserve"> Στη Γαλλία, στις ελίτ σχολές </w:t>
      </w:r>
      <w:r>
        <w:rPr>
          <w:rFonts w:ascii="Cambria Math" w:hAnsi="Cambria Math"/>
          <w:sz w:val="25"/>
          <w:szCs w:val="25"/>
        </w:rPr>
        <w:t>(«Grandes Écoles»)</w:t>
      </w:r>
      <w:r>
        <w:rPr>
          <w:rFonts w:ascii="Cambria Math" w:hAnsi="Cambria Math"/>
          <w:sz w:val="25"/>
          <w:szCs w:val="25"/>
          <w:lang w:val="el-GR"/>
        </w:rPr>
        <w:t xml:space="preserve"> </w:t>
      </w:r>
      <w:r>
        <w:rPr>
          <w:rFonts w:ascii="Cambria Math" w:hAnsi="Cambria Math"/>
          <w:sz w:val="25"/>
          <w:szCs w:val="25"/>
        </w:rPr>
        <w:t>το ποσοστό των φοιτητών εργατικής καταγωγής είναι μόλις 7%</w:t>
      </w:r>
      <w:r>
        <w:rPr>
          <w:rFonts w:ascii="Cambria Math" w:hAnsi="Cambria Math"/>
          <w:sz w:val="25"/>
          <w:szCs w:val="25"/>
          <w:lang w:val="el-GR"/>
        </w:rPr>
        <w:t xml:space="preserve">. Στο </w:t>
      </w:r>
      <w:r>
        <w:rPr>
          <w:rFonts w:ascii="Cambria Math" w:hAnsi="Cambria Math"/>
          <w:b w:val="false"/>
          <w:bCs/>
          <w:sz w:val="25"/>
          <w:szCs w:val="25"/>
        </w:rPr>
        <w:t>Ηνωμένο Βασίλειο</w:t>
      </w:r>
      <w:r>
        <w:rPr>
          <w:rFonts w:ascii="Cambria Math" w:hAnsi="Cambria Math"/>
          <w:b w:val="false"/>
          <w:bCs/>
          <w:sz w:val="25"/>
          <w:szCs w:val="25"/>
          <w:lang w:val="el-GR"/>
        </w:rPr>
        <w:t>, οι</w:t>
      </w:r>
      <w:r>
        <w:rPr>
          <w:rFonts w:ascii="Cambria Math" w:hAnsi="Cambria Math"/>
          <w:sz w:val="25"/>
          <w:szCs w:val="25"/>
        </w:rPr>
        <w:t xml:space="preserve"> εύποροι μαθητές έχουν 2,2 φορές μεγαλύτερη πιθανότητα πρόσβασης στο STEM A-</w:t>
      </w:r>
      <w:r>
        <w:rPr>
          <w:rFonts w:ascii="Cambria Math" w:hAnsi="Cambria Math"/>
          <w:sz w:val="25"/>
          <w:szCs w:val="25"/>
          <w:lang w:val="en-US"/>
        </w:rPr>
        <w:t>L</w:t>
      </w:r>
      <w:r>
        <w:rPr>
          <w:rFonts w:ascii="Cambria Math" w:hAnsi="Cambria Math"/>
          <w:sz w:val="25"/>
          <w:szCs w:val="25"/>
        </w:rPr>
        <w:t xml:space="preserve">evel που οδηγεί σε Ιατρικές, Πολυτεχνικές και Σχολές Φυσικών Επιστημών. </w:t>
      </w:r>
      <w:r>
        <w:rPr>
          <w:rFonts w:ascii="Cambria Math" w:hAnsi="Cambria Math"/>
          <w:sz w:val="25"/>
          <w:szCs w:val="25"/>
          <w:lang w:val="el-GR"/>
        </w:rPr>
        <w:t xml:space="preserve">Στη </w:t>
      </w:r>
      <w:r>
        <w:rPr>
          <w:rFonts w:ascii="Cambria Math" w:hAnsi="Cambria Math"/>
          <w:b w:val="false"/>
          <w:bCs w:val="false"/>
          <w:sz w:val="25"/>
          <w:szCs w:val="25"/>
          <w:lang w:val="el-GR"/>
        </w:rPr>
        <w:t>Γ</w:t>
      </w:r>
      <w:r>
        <w:rPr>
          <w:rFonts w:ascii="Cambria Math" w:hAnsi="Cambria Math"/>
          <w:b w:val="false"/>
          <w:bCs w:val="false"/>
          <w:sz w:val="25"/>
          <w:szCs w:val="25"/>
        </w:rPr>
        <w:t>ερμανία</w:t>
      </w:r>
      <w:r>
        <w:rPr>
          <w:rFonts w:ascii="Cambria Math" w:hAnsi="Cambria Math"/>
          <w:sz w:val="25"/>
          <w:szCs w:val="25"/>
        </w:rPr>
        <w:t>, μόνο το 15% των παιδιών από εργατικές οικογένειες καταλήγει στο Gymnasium, που οδηγεί στο Πανεπιστήμιο.</w:t>
      </w:r>
      <w:r>
        <w:rPr>
          <w:rFonts w:ascii="Cambria Math" w:hAnsi="Cambria Math"/>
          <w:sz w:val="25"/>
          <w:szCs w:val="25"/>
          <w:lang w:val="el-GR"/>
        </w:rPr>
        <w:t xml:space="preserve"> Αποτελεί  κοινό στοιχείο, ότι σε χώρες που λειτουργούν εθνικά απολυτήρια για δεκαετίες, έχουν ενταθεί οι ταξικοί φραγμοί, με τη δημιουργία μιας τεράστιας αγοράς εξωσχολικής διδασκαλίας! </w:t>
      </w:r>
    </w:p>
    <w:p>
      <w:pPr>
        <w:pStyle w:val="Normal"/>
        <w:spacing w:lineRule="auto" w:line="276" w:before="0" w:after="85"/>
        <w:jc w:val="both"/>
        <w:rPr/>
      </w:pPr>
      <w:r>
        <w:rPr>
          <w:rFonts w:cs="Times New Roman" w:ascii="Cambria Math" w:hAnsi="Cambria Math"/>
          <w:b/>
          <w:bCs/>
          <w:sz w:val="25"/>
          <w:szCs w:val="25"/>
          <w:lang w:val="el-GR"/>
        </w:rPr>
        <w:t>Το «Εθνικό Απολυτήριο» δεν εμφανίστηκε ξαφνικά.</w:t>
      </w:r>
      <w:r>
        <w:rPr>
          <w:rFonts w:cs="Times New Roman" w:ascii="Cambria Math" w:hAnsi="Cambria Math"/>
          <w:sz w:val="25"/>
          <w:szCs w:val="25"/>
          <w:lang w:val="el-GR"/>
        </w:rPr>
        <w:t xml:space="preserve"> Επανέρχεται εδώ και 30 χρόνια από  τις κυβερνήσεις ως στρατηγική επιλογή (νόμοι Αρσένη, σχέδιο Γαβρόγλου για το Λύκειο), </w:t>
      </w:r>
      <w:r>
        <w:rPr>
          <w:rFonts w:cs="Times New Roman" w:ascii="Cambria Math" w:hAnsi="Cambria Math"/>
          <w:b/>
          <w:bCs/>
          <w:sz w:val="25"/>
          <w:szCs w:val="25"/>
          <w:lang w:val="el-GR"/>
        </w:rPr>
        <w:t>μένοντας στα χαρτιά, μετά από τις πολύ μεγάλες κινητοποιήσεις της εκπαιδευτικής κοινότητας,</w:t>
      </w:r>
      <w:r>
        <w:rPr>
          <w:rFonts w:cs="Times New Roman" w:ascii="Cambria Math" w:hAnsi="Cambria Math"/>
          <w:sz w:val="25"/>
          <w:szCs w:val="25"/>
          <w:lang w:val="el-GR"/>
        </w:rPr>
        <w:t xml:space="preserve"> ενάντια στη μετατροπή του  Λυκείου σε εργαλείο ταξικής επιλογής και διαφοροποίησης. </w:t>
      </w:r>
      <w:r>
        <w:rPr>
          <w:rFonts w:cs="Times New Roman" w:ascii="Cambria Math" w:hAnsi="Cambria Math"/>
          <w:b/>
          <w:bCs/>
          <w:sz w:val="25"/>
          <w:szCs w:val="25"/>
          <w:lang w:val="el-GR"/>
        </w:rPr>
        <w:t>Έτσι και σήμερα, είναι μονόδρομος, να μπλοκάρουμε το αντιδραστικό, αντιλαϊκό και αντιπαιδαγωγικό «Εθνικό Απολυτήριο» με κοινή δράση</w:t>
      </w:r>
      <w:r>
        <w:rPr>
          <w:rFonts w:cs="Times New Roman" w:ascii="Cambria Math" w:hAnsi="Cambria Math"/>
          <w:b w:val="false"/>
          <w:bCs/>
          <w:sz w:val="25"/>
          <w:szCs w:val="25"/>
          <w:lang w:val="el-GR"/>
        </w:rPr>
        <w:t xml:space="preserve"> εκπαιδευτικών, γονιών και μαθητών! </w:t>
      </w:r>
      <w:r>
        <w:rPr>
          <w:rFonts w:cs="Times New Roman" w:ascii="Cambria Math" w:hAnsi="Cambria Math"/>
          <w:b w:val="false"/>
          <w:bCs/>
          <w:sz w:val="25"/>
          <w:szCs w:val="25"/>
          <w:u w:val="single"/>
          <w:lang w:val="el-GR"/>
        </w:rPr>
        <w:t>Δεν υπερασπιζόμαστε το σημερινό σχολείο. Α</w:t>
      </w:r>
      <w:r>
        <w:rPr>
          <w:rFonts w:cs="Times New Roman" w:ascii="Cambria Math" w:hAnsi="Cambria Math"/>
          <w:sz w:val="25"/>
          <w:szCs w:val="25"/>
          <w:u w:val="single"/>
          <w:lang w:val="el-GR"/>
        </w:rPr>
        <w:t>παιτούμε την αναβάθμιση του δημόσιου σχολείου, υπερασπίζουμε το δικαίωμα όλων των παιδιών στη μόρφωση, αντιπαλεύουμε τους φραγμούς που αντιμετωπίζουν οι μαθητές για την εισαγωγή τους στην τριτοβάθμια εκπαίδευση!</w:t>
      </w:r>
    </w:p>
    <w:p>
      <w:pPr>
        <w:pStyle w:val="Normal"/>
        <w:spacing w:lineRule="auto" w:line="276" w:before="0" w:after="85"/>
        <w:jc w:val="both"/>
        <w:rPr/>
      </w:pPr>
      <w:r>
        <w:rPr>
          <w:rFonts w:cs="Times New Roman" w:ascii="Cambria Math" w:hAnsi="Cambria Math"/>
          <w:b/>
          <w:sz w:val="30"/>
          <w:szCs w:val="30"/>
          <w:lang w:val="el-GR"/>
        </w:rPr>
        <w:t xml:space="preserve">Διεκδικούμε και παλεύουμε για: </w:t>
      </w:r>
    </w:p>
    <w:p>
      <w:pPr>
        <w:pStyle w:val="ListParagraph"/>
        <w:numPr>
          <w:ilvl w:val="0"/>
          <w:numId w:val="2"/>
        </w:numPr>
        <w:spacing w:lineRule="auto" w:line="276" w:before="0" w:after="28"/>
        <w:ind w:hanging="420" w:start="420"/>
        <w:contextualSpacing w:val="false"/>
        <w:jc w:val="both"/>
        <w:rPr>
          <w:sz w:val="24"/>
          <w:szCs w:val="24"/>
        </w:rPr>
      </w:pPr>
      <w:r>
        <w:rPr>
          <w:rFonts w:cs="Times New Roman" w:ascii="Cambria Math" w:hAnsi="Cambria Math"/>
          <w:sz w:val="24"/>
          <w:szCs w:val="24"/>
          <w:lang w:val="el-GR"/>
        </w:rPr>
        <w:t>Ενιαίο αποκλειστικά δημόσιο και δωρεάν 12χρονο σχολείο που να μορφώνει όλα τα παιδιά.</w:t>
      </w:r>
    </w:p>
    <w:p>
      <w:pPr>
        <w:pStyle w:val="ListParagraph"/>
        <w:numPr>
          <w:ilvl w:val="0"/>
          <w:numId w:val="2"/>
        </w:numPr>
        <w:spacing w:lineRule="auto" w:line="276" w:before="0" w:after="28"/>
        <w:ind w:hanging="420" w:start="420"/>
        <w:contextualSpacing w:val="false"/>
        <w:jc w:val="both"/>
        <w:rPr>
          <w:sz w:val="24"/>
          <w:szCs w:val="24"/>
        </w:rPr>
      </w:pPr>
      <w:r>
        <w:rPr>
          <w:rFonts w:cs="Times New Roman" w:ascii="Cambria Math" w:hAnsi="Cambria Math"/>
          <w:sz w:val="24"/>
          <w:szCs w:val="24"/>
          <w:lang w:val="el-GR"/>
        </w:rPr>
        <w:t>Αναλυτικά προγράμματα και βιβλία που υπηρετούν τη γνώση, την κατανόηση και την κριτική σκέψη, όχι την παπαγαλία. Χρόνος για εμπέδωση, εργαστηριακή δουλειά, εργασίες, πολιτιστικές και κοινωνικές δράσεις.</w:t>
      </w:r>
    </w:p>
    <w:p>
      <w:pPr>
        <w:pStyle w:val="ListParagraph"/>
        <w:numPr>
          <w:ilvl w:val="0"/>
          <w:numId w:val="2"/>
        </w:numPr>
        <w:spacing w:lineRule="auto" w:line="276" w:before="0" w:after="28"/>
        <w:ind w:hanging="420" w:start="420"/>
        <w:contextualSpacing w:val="false"/>
        <w:jc w:val="both"/>
        <w:rPr>
          <w:sz w:val="24"/>
          <w:szCs w:val="24"/>
        </w:rPr>
      </w:pPr>
      <w:r>
        <w:rPr>
          <w:rFonts w:cs="Times New Roman" w:ascii="Cambria Math" w:hAnsi="Cambria Math"/>
          <w:sz w:val="24"/>
          <w:szCs w:val="24"/>
          <w:lang w:val="el-GR"/>
        </w:rPr>
        <w:t>Μείωση του αριθμού μαθητών ανά τμήμα, σύγχρονες υποδομές, εργαστήρια, βιβλιοθήκες.</w:t>
      </w:r>
    </w:p>
    <w:p>
      <w:pPr>
        <w:pStyle w:val="ListParagraph"/>
        <w:numPr>
          <w:ilvl w:val="0"/>
          <w:numId w:val="2"/>
        </w:numPr>
        <w:spacing w:lineRule="auto" w:line="276" w:before="0" w:after="28"/>
        <w:ind w:hanging="420" w:start="420"/>
        <w:contextualSpacing w:val="false"/>
        <w:jc w:val="both"/>
        <w:rPr>
          <w:sz w:val="24"/>
          <w:szCs w:val="24"/>
        </w:rPr>
      </w:pPr>
      <w:r>
        <w:rPr>
          <w:rFonts w:cs="Times New Roman" w:ascii="Cambria Math" w:hAnsi="Cambria Math"/>
          <w:sz w:val="24"/>
          <w:szCs w:val="24"/>
          <w:lang w:val="el-GR"/>
        </w:rPr>
        <w:t>Μόνιμοι διορισμοί, σταθερό προσωπικό, ενισχυτική διδασκαλία μέσα στο σχολείο, ειδική αγωγή και ψυχοκοινωνική στήριξη.</w:t>
      </w:r>
    </w:p>
    <w:p>
      <w:pPr>
        <w:pStyle w:val="ListParagraph"/>
        <w:numPr>
          <w:ilvl w:val="0"/>
          <w:numId w:val="2"/>
        </w:numPr>
        <w:spacing w:lineRule="auto" w:line="276" w:before="0" w:after="28"/>
        <w:ind w:hanging="420" w:start="420"/>
        <w:contextualSpacing w:val="false"/>
        <w:jc w:val="both"/>
        <w:rPr>
          <w:sz w:val="24"/>
          <w:szCs w:val="24"/>
        </w:rPr>
      </w:pPr>
      <w:r>
        <w:rPr>
          <w:rFonts w:cs="Times New Roman" w:ascii="Cambria Math" w:hAnsi="Cambria Math"/>
          <w:sz w:val="24"/>
          <w:szCs w:val="24"/>
          <w:lang w:val="el-GR"/>
        </w:rPr>
        <w:t>Κατάργηση της Τράπεζας Θεμάτων και της Ελάχιστης Βάσης Εισαγωγής</w:t>
      </w:r>
    </w:p>
    <w:p>
      <w:pPr>
        <w:pStyle w:val="ListParagraph"/>
        <w:numPr>
          <w:ilvl w:val="0"/>
          <w:numId w:val="2"/>
        </w:numPr>
        <w:spacing w:lineRule="auto" w:line="276" w:before="0" w:after="28"/>
        <w:ind w:hanging="420" w:start="420"/>
        <w:contextualSpacing w:val="false"/>
        <w:jc w:val="both"/>
        <w:rPr>
          <w:sz w:val="24"/>
          <w:szCs w:val="24"/>
        </w:rPr>
      </w:pPr>
      <w:r>
        <w:rPr>
          <w:rFonts w:cs="Times New Roman" w:ascii="Cambria Math" w:hAnsi="Cambria Math"/>
          <w:sz w:val="24"/>
          <w:szCs w:val="24"/>
          <w:lang w:val="el-GR"/>
        </w:rPr>
        <w:t>Απεριόριστη δυνατότητα πολλαπλών επιλογών προτίμησης.</w:t>
      </w:r>
    </w:p>
    <w:p>
      <w:pPr>
        <w:pStyle w:val="ListParagraph"/>
        <w:numPr>
          <w:ilvl w:val="0"/>
          <w:numId w:val="2"/>
        </w:numPr>
        <w:spacing w:lineRule="auto" w:line="276" w:before="0" w:after="28"/>
        <w:ind w:hanging="420" w:start="420"/>
        <w:contextualSpacing w:val="false"/>
        <w:jc w:val="both"/>
        <w:rPr>
          <w:sz w:val="24"/>
          <w:szCs w:val="24"/>
        </w:rPr>
      </w:pPr>
      <w:r>
        <w:rPr>
          <w:rFonts w:cs="Times New Roman" w:ascii="Cambria Math" w:hAnsi="Cambria Math"/>
          <w:sz w:val="24"/>
          <w:szCs w:val="24"/>
          <w:lang w:val="el-GR"/>
        </w:rPr>
        <w:t>Κατοχύρωση βαθμολογίας των μαθημάτων και για τις επόμενες χρονιές.</w:t>
      </w:r>
    </w:p>
    <w:p>
      <w:pPr>
        <w:pStyle w:val="ListParagraph"/>
        <w:numPr>
          <w:ilvl w:val="0"/>
          <w:numId w:val="2"/>
        </w:numPr>
        <w:spacing w:lineRule="auto" w:line="276" w:before="0" w:after="28"/>
        <w:ind w:hanging="420" w:start="420"/>
        <w:contextualSpacing w:val="false"/>
        <w:jc w:val="both"/>
        <w:rPr>
          <w:sz w:val="24"/>
          <w:szCs w:val="24"/>
        </w:rPr>
      </w:pPr>
      <w:r>
        <w:rPr>
          <w:rFonts w:cs="Times New Roman" w:ascii="Cambria Math" w:hAnsi="Cambria Math"/>
          <w:sz w:val="24"/>
          <w:szCs w:val="24"/>
          <w:lang w:val="el-GR"/>
        </w:rPr>
        <w:t>Λειτουργία της Πρόσθετης Διδακτικής Στήριξης και της Ενισχυτικής Διδασκαλίας.</w:t>
      </w:r>
    </w:p>
    <w:p>
      <w:pPr>
        <w:pStyle w:val="ListParagraph"/>
        <w:numPr>
          <w:ilvl w:val="0"/>
          <w:numId w:val="2"/>
        </w:numPr>
        <w:spacing w:lineRule="auto" w:line="276" w:before="0" w:after="28"/>
        <w:ind w:hanging="420" w:start="420"/>
        <w:contextualSpacing w:val="false"/>
        <w:jc w:val="both"/>
        <w:rPr>
          <w:sz w:val="24"/>
          <w:szCs w:val="24"/>
        </w:rPr>
      </w:pPr>
      <w:r>
        <w:rPr>
          <w:rFonts w:cs="Times New Roman" w:ascii="Cambria Math" w:hAnsi="Cambria Math"/>
          <w:sz w:val="24"/>
          <w:szCs w:val="24"/>
          <w:lang w:val="el-GR"/>
        </w:rPr>
        <w:t>Ουσιαστική αναβάθμιση της Επαγγελματικής Εκπαίδευσης, για να μην γίνεται «λύση ανάγκης», με σύγχρονα εργαστήρια, ειδικότητες με επιστημονική βάση και δικαίωμα συνέχισης σπουδών. Μόνη προϋπόθεση για τη δουλειά, όλα τα επαγγελματικά δικαιώματα να δίνονται με το πτυχίο. Κατάργηση της πιστοποίησης. Κατάργηση του απαράδεκτου μέτρου των Επαγγελματικών Σχολών Κατάρτισης που αποσχολειοποιεί τα παιδιά από τα 15 τους χρόνια και στα στέλνει βορά στα νύχια της εργοδοσίας.</w:t>
      </w:r>
    </w:p>
    <w:p>
      <w:pPr>
        <w:pStyle w:val="Normal"/>
        <w:numPr>
          <w:ilvl w:val="0"/>
          <w:numId w:val="0"/>
        </w:numPr>
        <w:spacing w:lineRule="atLeast" w:line="22" w:before="60" w:after="60"/>
        <w:ind w:hanging="0" w:start="0"/>
        <w:jc w:val="center"/>
        <w:rPr>
          <w:sz w:val="25"/>
          <w:szCs w:val="25"/>
        </w:rPr>
      </w:pPr>
      <w:r>
        <w:rPr>
          <w:rFonts w:cs="Times New Roman" w:ascii="Liberation Serif" w:hAnsi="Liberation Serif"/>
          <w:b/>
          <w:sz w:val="25"/>
          <w:szCs w:val="25"/>
          <w:lang w:val="el-GR"/>
        </w:rPr>
        <w:t xml:space="preserve">Να μπλοκάρουμε το αντιδραστικό, αντιλαϊκό και αντιπαιδαγωγικό «Εθνικό Απολυτήριο» με κοινή </w:t>
      </w:r>
      <w:r>
        <w:drawing>
          <wp:anchor behindDoc="0" distT="0" distB="0" distL="0" distR="0" simplePos="0" locked="0" layoutInCell="0" allowOverlap="1" relativeHeight="5">
            <wp:simplePos x="0" y="0"/>
            <wp:positionH relativeFrom="column">
              <wp:posOffset>2003425</wp:posOffset>
            </wp:positionH>
            <wp:positionV relativeFrom="paragraph">
              <wp:posOffset>612140</wp:posOffset>
            </wp:positionV>
            <wp:extent cx="2828290" cy="505460"/>
            <wp:effectExtent l="0" t="0" r="0" b="0"/>
            <wp:wrapSquare wrapText="largest"/>
            <wp:docPr id="3" name="Εικόνα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Εικόνα1" descr="" title=""/>
                    <pic:cNvPicPr>
                      <a:picLocks noChangeAspect="1" noChangeArrowheads="1"/>
                    </pic:cNvPicPr>
                  </pic:nvPicPr>
                  <pic:blipFill>
                    <a:blip r:embed="rId5"/>
                    <a:stretch>
                      <a:fillRect/>
                    </a:stretch>
                  </pic:blipFill>
                  <pic:spPr bwMode="auto">
                    <a:xfrm>
                      <a:off x="0" y="0"/>
                      <a:ext cx="2828290" cy="505460"/>
                    </a:xfrm>
                    <a:prstGeom prst="rect">
                      <a:avLst/>
                    </a:prstGeom>
                  </pic:spPr>
                </pic:pic>
              </a:graphicData>
            </a:graphic>
          </wp:anchor>
        </w:drawing>
      </w:r>
      <w:r>
        <w:rPr>
          <w:rFonts w:cs="Times New Roman" w:ascii="Liberation Serif" w:hAnsi="Liberation Serif"/>
          <w:b/>
          <w:sz w:val="25"/>
          <w:szCs w:val="25"/>
          <w:lang w:val="el-GR"/>
        </w:rPr>
        <w:t xml:space="preserve">δράση εκπαιδευτικών, γονιών και μαθητών. </w:t>
      </w:r>
      <w:r>
        <w:rPr>
          <w:rFonts w:cs="Times New Roman" w:ascii="Liberation Serif" w:hAnsi="Liberation Serif"/>
          <w:b/>
          <w:sz w:val="25"/>
          <w:szCs w:val="25"/>
          <w:lang w:val="el-GR"/>
        </w:rPr>
        <w:t>Να φύγουν τώρα ΔΟΕ και ΟΛΜΕ από τον στημένο διάλογο. Στηρίζουμε τις μαθητικές κινητοποιήσεις 26, 27/2 και το μαθητικό Συλλαλητήριο 26/2 στις 12μ στα Προπύλαια.</w:t>
      </w:r>
    </w:p>
    <w:sectPr>
      <w:type w:val="nextPage"/>
      <w:pgSz w:w="11906" w:h="16838"/>
      <w:pgMar w:left="709" w:right="652" w:gutter="0" w:header="0" w:top="567" w:footer="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Calibri Light">
    <w:charset w:val="01" w:characterSet="utf-8"/>
    <w:family w:val="roman"/>
    <w:pitch w:val="variable"/>
  </w:font>
  <w:font w:name="Times New Roman">
    <w:charset w:val="01" w:characterSet="utf-8"/>
    <w:family w:val="roman"/>
    <w:pitch w:val="variable"/>
  </w:font>
  <w:font w:name="Wingdings">
    <w:charset w:val="01" w:characterSet="utf-8"/>
    <w:family w:val="roman"/>
    <w:pitch w:val="variable"/>
  </w:font>
  <w:font w:name="Symbol">
    <w:charset w:val="01" w:characterSet="utf-8"/>
    <w:family w:val="roman"/>
    <w:pitch w:val="variable"/>
  </w:font>
  <w:font w:name="Courier New">
    <w:charset w:val="01" w:characterSet="utf-8"/>
    <w:family w:val="roman"/>
    <w:pitch w:val="variable"/>
  </w:font>
  <w:font w:name="Noto Sans Symbols">
    <w:altName w:val="Calibri"/>
    <w:charset w:val="01" w:characterSet="utf-8"/>
    <w:family w:val="roman"/>
    <w:pitch w:val="variable"/>
  </w:font>
  <w:font w:name="PF Square Sans Pro Extra Black">
    <w:charset w:val="01" w:characterSet="utf-8"/>
    <w:family w:val="roman"/>
    <w:pitch w:val="variable"/>
  </w:font>
  <w:font w:name="Segoe UI">
    <w:charset w:val="01" w:characterSet="utf-8"/>
    <w:family w:val="roman"/>
    <w:pitch w:val="variable"/>
  </w:font>
  <w:font w:name="OpenSymbol">
    <w:altName w:val="Arial Unicode MS"/>
    <w:charset w:val="01" w:characterSet="utf-8"/>
    <w:family w:val="roman"/>
    <w:pitch w:val="variable"/>
  </w:font>
  <w:font w:name="Arial">
    <w:charset w:val="01" w:characterSet="utf-8"/>
    <w:family w:val="roman"/>
    <w:pitch w:val="variable"/>
  </w:font>
  <w:font w:name="Aptos">
    <w:charset w:val="01" w:characterSet="utf-8"/>
    <w:family w:val="roman"/>
    <w:pitch w:val="variable"/>
  </w:font>
  <w:font w:name="Cambria Math">
    <w:charset w:val="01" w:characterSet="utf-8"/>
    <w:family w:val="roman"/>
    <w:pitch w:val="variable"/>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bullet"/>
      <w:lvlText w:val=""/>
      <w:lvlJc w:val="start"/>
      <w:pPr>
        <w:tabs>
          <w:tab w:val="num" w:pos="420"/>
        </w:tabs>
        <w:ind w:start="420" w:hanging="420"/>
      </w:pPr>
      <w:rPr>
        <w:rFonts w:ascii="Wingdings" w:hAnsi="Wingdings" w:cs="Wingdings"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1"/>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el-GR"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00"/>
      <w:jc w:val="start"/>
    </w:pPr>
    <w:rPr>
      <w:rFonts w:ascii="Calibri" w:hAnsi="Calibri" w:eastAsia="Calibri" w:cs="Times New Roman"/>
      <w:color w:val="auto"/>
      <w:kern w:val="0"/>
      <w:sz w:val="22"/>
      <w:szCs w:val="22"/>
      <w:lang w:val="el-GR" w:eastAsia="zh-CN" w:bidi="ar-SA"/>
    </w:rPr>
  </w:style>
  <w:style w:type="paragraph" w:styleId="Heading1">
    <w:name w:val="Heading 1"/>
    <w:basedOn w:val="Normal"/>
    <w:next w:val="Normal"/>
    <w:qFormat/>
    <w:pPr>
      <w:keepNext w:val="true"/>
      <w:numPr>
        <w:ilvl w:val="0"/>
        <w:numId w:val="1"/>
      </w:numPr>
      <w:spacing w:before="240" w:after="60"/>
      <w:outlineLvl w:val="0"/>
    </w:pPr>
    <w:rPr>
      <w:rFonts w:ascii="Calibri Light" w:hAnsi="Calibri Light" w:eastAsia="Times New Roman" w:cs="Calibri Light"/>
      <w:b/>
      <w:bCs/>
      <w:kern w:val="2"/>
      <w:sz w:val="32"/>
      <w:szCs w:val="32"/>
    </w:rPr>
  </w:style>
  <w:style w:type="paragraph" w:styleId="Heading2">
    <w:name w:val="Heading 2"/>
    <w:basedOn w:val="Normal"/>
    <w:next w:val="BodyText"/>
    <w:qFormat/>
    <w:pPr>
      <w:numPr>
        <w:ilvl w:val="1"/>
        <w:numId w:val="1"/>
      </w:numPr>
      <w:spacing w:lineRule="auto" w:line="240" w:before="280" w:after="280"/>
      <w:outlineLvl w:val="1"/>
    </w:pPr>
    <w:rPr>
      <w:rFonts w:ascii="Times New Roman" w:hAnsi="Times New Roman" w:eastAsia="Times New Roman"/>
      <w:b/>
      <w:bCs/>
      <w:sz w:val="36"/>
      <w:szCs w:val="36"/>
    </w:rPr>
  </w:style>
  <w:style w:type="paragraph" w:styleId="Heading3">
    <w:name w:val="Heading 3"/>
    <w:basedOn w:val="Normal"/>
    <w:next w:val="Normal"/>
    <w:qFormat/>
    <w:pPr>
      <w:keepNext w:val="true"/>
      <w:numPr>
        <w:ilvl w:val="2"/>
        <w:numId w:val="1"/>
      </w:numPr>
      <w:spacing w:before="240" w:after="60"/>
      <w:outlineLvl w:val="2"/>
    </w:pPr>
    <w:rPr>
      <w:rFonts w:ascii="Calibri Light" w:hAnsi="Calibri Light" w:eastAsia="Times New Roman"/>
      <w:b/>
      <w:bCs/>
      <w:sz w:val="26"/>
      <w:szCs w:val="26"/>
    </w:rPr>
  </w:style>
  <w:style w:type="character" w:styleId="DefaultParagraphFont" w:default="1">
    <w:name w:val="Default Paragraph Font"/>
    <w:uiPriority w:val="1"/>
    <w:semiHidden/>
    <w:unhideWhenUsed/>
    <w:qFormat/>
    <w:rPr/>
  </w:style>
  <w:style w:type="character" w:styleId="WW8Num1z0" w:customStyle="1">
    <w:name w:val="WW8Num1z0"/>
    <w:qFormat/>
    <w:rPr>
      <w:rFonts w:ascii="Wingdings" w:hAnsi="Wingdings" w:cs="Wingdings"/>
    </w:rPr>
  </w:style>
  <w:style w:type="character" w:styleId="WW8Num2z0" w:customStyle="1">
    <w:name w:val="WW8Num2z0"/>
    <w:qFormat/>
    <w:rPr>
      <w:rFonts w:ascii="Wingdings" w:hAnsi="Wingdings" w:cs="Wingdings"/>
    </w:rPr>
  </w:style>
  <w:style w:type="character" w:styleId="WW8Num3z0" w:customStyle="1">
    <w:name w:val="WW8Num3z0"/>
    <w:qFormat/>
    <w:rPr>
      <w:rFonts w:ascii="Symbol" w:hAnsi="Symbol" w:cs="OpenSymbol"/>
      <w:sz w:val="24"/>
      <w:szCs w:val="24"/>
    </w:rPr>
  </w:style>
  <w:style w:type="character" w:styleId="WW8Num4z0" w:customStyle="1">
    <w:name w:val="WW8Num4z0"/>
    <w:qFormat/>
    <w:rPr>
      <w:rFonts w:ascii="Symbol" w:hAnsi="Symbol" w:cs="Symbol"/>
      <w:sz w:val="20"/>
    </w:rPr>
  </w:style>
  <w:style w:type="character" w:styleId="WW8Num4z1" w:customStyle="1">
    <w:name w:val="WW8Num4z1"/>
    <w:qFormat/>
    <w:rPr>
      <w:rFonts w:ascii="Courier New" w:hAnsi="Courier New" w:cs="Courier New"/>
      <w:sz w:val="20"/>
    </w:rPr>
  </w:style>
  <w:style w:type="character" w:styleId="WW8Num4z2" w:customStyle="1">
    <w:name w:val="WW8Num4z2"/>
    <w:qFormat/>
    <w:rPr>
      <w:rFonts w:ascii="Wingdings" w:hAnsi="Wingdings" w:cs="Wingdings"/>
      <w:sz w:val="20"/>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6z0" w:customStyle="1">
    <w:name w:val="WW8Num6z0"/>
    <w:qFormat/>
    <w:rPr>
      <w:rFonts w:ascii="Wingdings" w:hAnsi="Wingdings" w:cs="Wingdings"/>
    </w:rPr>
  </w:style>
  <w:style w:type="character" w:styleId="WW8Num6z1" w:customStyle="1">
    <w:name w:val="WW8Num6z1"/>
    <w:qFormat/>
    <w:rPr>
      <w:rFonts w:ascii="Courier New" w:hAnsi="Courier New" w:cs="Courier New"/>
    </w:rPr>
  </w:style>
  <w:style w:type="character" w:styleId="WW8Num6z3" w:customStyle="1">
    <w:name w:val="WW8Num6z3"/>
    <w:qFormat/>
    <w:rPr>
      <w:rFonts w:ascii="Symbol" w:hAnsi="Symbol" w:cs="Symbol"/>
    </w:rPr>
  </w:style>
  <w:style w:type="character" w:styleId="WW8Num7z0" w:customStyle="1">
    <w:name w:val="WW8Num7z0"/>
    <w:qFormat/>
    <w:rPr>
      <w:rFonts w:ascii="Wingdings" w:hAnsi="Wingdings" w:cs="Wingdings"/>
    </w:rPr>
  </w:style>
  <w:style w:type="character" w:styleId="WW8Num8z0" w:customStyle="1">
    <w:name w:val="WW8Num8z0"/>
    <w:qFormat/>
    <w:rPr>
      <w:rFonts w:ascii="Symbol" w:hAnsi="Symbol" w:cs="Symbol"/>
    </w:rPr>
  </w:style>
  <w:style w:type="character" w:styleId="WW8Num8z1" w:customStyle="1">
    <w:name w:val="WW8Num8z1"/>
    <w:qFormat/>
    <w:rPr>
      <w:rFonts w:ascii="Courier New" w:hAnsi="Courier New" w:cs="Courier New"/>
    </w:rPr>
  </w:style>
  <w:style w:type="character" w:styleId="WW8Num8z2" w:customStyle="1">
    <w:name w:val="WW8Num8z2"/>
    <w:qFormat/>
    <w:rPr>
      <w:rFonts w:ascii="Wingdings" w:hAnsi="Wingdings" w:cs="Wingdings"/>
    </w:rPr>
  </w:style>
  <w:style w:type="character" w:styleId="WW8Num9z0" w:customStyle="1">
    <w:name w:val="WW8Num9z0"/>
    <w:qFormat/>
    <w:rPr>
      <w:rFonts w:ascii="Calibri" w:hAnsi="Calibri" w:eastAsia="Calibri" w:cs="Calibri"/>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rFonts w:ascii="Wingdings" w:hAnsi="Wingdings" w:cs="Wingdings"/>
    </w:rPr>
  </w:style>
  <w:style w:type="character" w:styleId="WW8Num10z1" w:customStyle="1">
    <w:name w:val="WW8Num10z1"/>
    <w:qFormat/>
    <w:rPr>
      <w:rFonts w:ascii="Courier New" w:hAnsi="Courier New" w:cs="Courier New"/>
    </w:rPr>
  </w:style>
  <w:style w:type="character" w:styleId="WW8Num10z3" w:customStyle="1">
    <w:name w:val="WW8Num10z3"/>
    <w:qFormat/>
    <w:rPr>
      <w:rFonts w:ascii="Symbol" w:hAnsi="Symbol" w:cs="Symbol"/>
    </w:rPr>
  </w:style>
  <w:style w:type="character" w:styleId="WW8Num11z0" w:customStyle="1">
    <w:name w:val="WW8Num11z0"/>
    <w:qFormat/>
    <w:rPr>
      <w:rFonts w:ascii="Wingdings" w:hAnsi="Wingdings" w:cs="Wingdings"/>
    </w:rPr>
  </w:style>
  <w:style w:type="character" w:styleId="WW8Num11z1" w:customStyle="1">
    <w:name w:val="WW8Num11z1"/>
    <w:qFormat/>
    <w:rPr>
      <w:rFonts w:ascii="Courier New" w:hAnsi="Courier New" w:cs="Courier New"/>
    </w:rPr>
  </w:style>
  <w:style w:type="character" w:styleId="WW8Num11z3" w:customStyle="1">
    <w:name w:val="WW8Num11z3"/>
    <w:qFormat/>
    <w:rPr>
      <w:rFonts w:ascii="Symbol" w:hAnsi="Symbol" w:cs="Symbol"/>
    </w:rPr>
  </w:style>
  <w:style w:type="character" w:styleId="WW8Num12z0" w:customStyle="1">
    <w:name w:val="WW8Num12z0"/>
    <w:qFormat/>
    <w:rPr>
      <w:rFonts w:ascii="Wingdings" w:hAnsi="Wingdings" w:cs="Wingdings"/>
    </w:rPr>
  </w:style>
  <w:style w:type="character" w:styleId="WW8Num12z1" w:customStyle="1">
    <w:name w:val="WW8Num12z1"/>
    <w:qFormat/>
    <w:rPr>
      <w:rFonts w:ascii="Courier New" w:hAnsi="Courier New" w:cs="Courier New"/>
    </w:rPr>
  </w:style>
  <w:style w:type="character" w:styleId="WW8Num12z3" w:customStyle="1">
    <w:name w:val="WW8Num12z3"/>
    <w:qFormat/>
    <w:rPr>
      <w:rFonts w:ascii="Symbol" w:hAnsi="Symbol" w:cs="Symbol"/>
    </w:rPr>
  </w:style>
  <w:style w:type="character" w:styleId="WW8Num13z0" w:customStyle="1">
    <w:name w:val="WW8Num13z0"/>
    <w:qFormat/>
    <w:rPr>
      <w:rFonts w:ascii="Noto Sans Symbols;Calibri" w:hAnsi="Noto Sans Symbols;Calibri" w:eastAsia="Noto Sans Symbols;Calibri" w:cs="Noto Sans Symbols;Calibri"/>
      <w:position w:val="0"/>
      <w:sz w:val="24"/>
      <w:sz w:val="24"/>
      <w:vertAlign w:val="baseline"/>
    </w:rPr>
  </w:style>
  <w:style w:type="character" w:styleId="WW8Num14z0" w:customStyle="1">
    <w:name w:val="WW8Num14z0"/>
    <w:qFormat/>
    <w:rPr>
      <w:rFonts w:ascii="Wingdings" w:hAnsi="Wingdings" w:cs="Wingdings"/>
    </w:rPr>
  </w:style>
  <w:style w:type="character" w:styleId="WW8Num14z1" w:customStyle="1">
    <w:name w:val="WW8Num14z1"/>
    <w:qFormat/>
    <w:rPr>
      <w:rFonts w:ascii="Courier New" w:hAnsi="Courier New" w:cs="Courier New"/>
    </w:rPr>
  </w:style>
  <w:style w:type="character" w:styleId="WW8Num14z3" w:customStyle="1">
    <w:name w:val="WW8Num14z3"/>
    <w:qFormat/>
    <w:rPr>
      <w:rFonts w:ascii="Symbol" w:hAnsi="Symbol" w:cs="Symbol"/>
    </w:rPr>
  </w:style>
  <w:style w:type="character" w:styleId="WW8Num15z0" w:customStyle="1">
    <w:name w:val="WW8Num15z0"/>
    <w:qFormat/>
    <w:rPr>
      <w:rFonts w:ascii="Wingdings" w:hAnsi="Wingdings" w:cs="Wingdings"/>
    </w:rPr>
  </w:style>
  <w:style w:type="character" w:styleId="WW8Num15z1" w:customStyle="1">
    <w:name w:val="WW8Num15z1"/>
    <w:qFormat/>
    <w:rPr>
      <w:rFonts w:ascii="Courier New" w:hAnsi="Courier New" w:cs="Courier New"/>
    </w:rPr>
  </w:style>
  <w:style w:type="character" w:styleId="WW8Num15z3" w:customStyle="1">
    <w:name w:val="WW8Num15z3"/>
    <w:qFormat/>
    <w:rPr>
      <w:rFonts w:ascii="Symbol" w:hAnsi="Symbol" w:cs="Symbol"/>
    </w:rPr>
  </w:style>
  <w:style w:type="character" w:styleId="WW8Num16z0" w:customStyle="1">
    <w:name w:val="WW8Num16z0"/>
    <w:qFormat/>
    <w:rPr>
      <w:rFonts w:ascii="Wingdings" w:hAnsi="Wingdings" w:cs="Wingdings"/>
    </w:rPr>
  </w:style>
  <w:style w:type="character" w:styleId="WW8Num16z1" w:customStyle="1">
    <w:name w:val="WW8Num16z1"/>
    <w:qFormat/>
    <w:rPr>
      <w:rFonts w:ascii="Courier New" w:hAnsi="Courier New" w:cs="Courier New"/>
    </w:rPr>
  </w:style>
  <w:style w:type="character" w:styleId="WW8Num16z3" w:customStyle="1">
    <w:name w:val="WW8Num16z3"/>
    <w:qFormat/>
    <w:rPr>
      <w:rFonts w:ascii="Symbol" w:hAnsi="Symbol" w:cs="Symbol"/>
    </w:rPr>
  </w:style>
  <w:style w:type="character" w:styleId="WW8Num17z0" w:customStyle="1">
    <w:name w:val="WW8Num17z0"/>
    <w:qFormat/>
    <w:rPr>
      <w:rFonts w:ascii="Noto Sans Symbols;Calibri" w:hAnsi="Noto Sans Symbols;Calibri" w:eastAsia="Noto Sans Symbols;Calibri" w:cs="Noto Sans Symbols;Calibri"/>
      <w:position w:val="0"/>
      <w:sz w:val="24"/>
      <w:sz w:val="24"/>
      <w:vertAlign w:val="baseline"/>
    </w:rPr>
  </w:style>
  <w:style w:type="character" w:styleId="WW8Num18z0" w:customStyle="1">
    <w:name w:val="WW8Num18z0"/>
    <w:qFormat/>
    <w:rPr>
      <w:rFonts w:ascii="Symbol" w:hAnsi="Symbol" w:cs="Symbol"/>
      <w:sz w:val="28"/>
    </w:rPr>
  </w:style>
  <w:style w:type="character" w:styleId="WW8Num19z0" w:customStyle="1">
    <w:name w:val="WW8Num19z0"/>
    <w:qFormat/>
    <w:rPr>
      <w:rFonts w:ascii="Wingdings" w:hAnsi="Wingdings" w:cs="Wingdings"/>
    </w:rPr>
  </w:style>
  <w:style w:type="character" w:styleId="WW8Num19z1" w:customStyle="1">
    <w:name w:val="WW8Num19z1"/>
    <w:qFormat/>
    <w:rPr>
      <w:rFonts w:ascii="Courier New" w:hAnsi="Courier New" w:cs="Courier New"/>
    </w:rPr>
  </w:style>
  <w:style w:type="character" w:styleId="WW8Num19z3" w:customStyle="1">
    <w:name w:val="WW8Num19z3"/>
    <w:qFormat/>
    <w:rPr>
      <w:rFonts w:ascii="Symbol" w:hAnsi="Symbol" w:cs="Symbol"/>
    </w:rPr>
  </w:style>
  <w:style w:type="character" w:styleId="WW8Num20z0" w:customStyle="1">
    <w:name w:val="WW8Num20z0"/>
    <w:qFormat/>
    <w:rPr>
      <w:rFonts w:ascii="Times New Roman" w:hAnsi="Times New Roman" w:eastAsia="Times New Roman" w:cs="Times New Roman"/>
    </w:rPr>
  </w:style>
  <w:style w:type="character" w:styleId="WW8Num20z1" w:customStyle="1">
    <w:name w:val="WW8Num20z1"/>
    <w:qFormat/>
    <w:rPr>
      <w:rFonts w:ascii="Courier New" w:hAnsi="Courier New" w:cs="Courier New"/>
    </w:rPr>
  </w:style>
  <w:style w:type="character" w:styleId="WW8Num20z2" w:customStyle="1">
    <w:name w:val="WW8Num20z2"/>
    <w:qFormat/>
    <w:rPr>
      <w:rFonts w:ascii="Wingdings" w:hAnsi="Wingdings" w:cs="Wingdings"/>
    </w:rPr>
  </w:style>
  <w:style w:type="character" w:styleId="WW8Num20z3" w:customStyle="1">
    <w:name w:val="WW8Num20z3"/>
    <w:qFormat/>
    <w:rPr>
      <w:rFonts w:ascii="Symbol" w:hAnsi="Symbol" w:cs="Symbol"/>
    </w:rPr>
  </w:style>
  <w:style w:type="character" w:styleId="WW8Num21z0" w:customStyle="1">
    <w:name w:val="WW8Num21z0"/>
    <w:qFormat/>
    <w:rPr>
      <w:rFonts w:ascii="Symbol" w:hAnsi="Symbol" w:cs="Symbol"/>
    </w:rPr>
  </w:style>
  <w:style w:type="character" w:styleId="WW8Num21z1" w:customStyle="1">
    <w:name w:val="WW8Num21z1"/>
    <w:qFormat/>
    <w:rPr>
      <w:rFonts w:ascii="Courier New" w:hAnsi="Courier New" w:cs="Courier New"/>
    </w:rPr>
  </w:style>
  <w:style w:type="character" w:styleId="WW8Num21z2" w:customStyle="1">
    <w:name w:val="WW8Num21z2"/>
    <w:qFormat/>
    <w:rPr>
      <w:rFonts w:ascii="Wingdings" w:hAnsi="Wingdings" w:cs="Wingdings"/>
    </w:rPr>
  </w:style>
  <w:style w:type="character" w:styleId="WW8Num22z0" w:customStyle="1">
    <w:name w:val="WW8Num22z0"/>
    <w:qFormat/>
    <w:rPr>
      <w:rFonts w:ascii="Wingdings" w:hAnsi="Wingdings" w:cs="Wingdings"/>
    </w:rPr>
  </w:style>
  <w:style w:type="character" w:styleId="WW8Num22z1" w:customStyle="1">
    <w:name w:val="WW8Num22z1"/>
    <w:qFormat/>
    <w:rPr>
      <w:rFonts w:ascii="Courier New" w:hAnsi="Courier New" w:cs="Courier New"/>
    </w:rPr>
  </w:style>
  <w:style w:type="character" w:styleId="WW8Num22z3" w:customStyle="1">
    <w:name w:val="WW8Num22z3"/>
    <w:qFormat/>
    <w:rPr>
      <w:rFonts w:ascii="Symbol" w:hAnsi="Symbol" w:cs="Symbol"/>
    </w:rPr>
  </w:style>
  <w:style w:type="character" w:styleId="WW8Num23z0" w:customStyle="1">
    <w:name w:val="WW8Num23z0"/>
    <w:qFormat/>
    <w:rPr>
      <w:rFonts w:ascii="PF Square Sans Pro Extra Black;" w:hAnsi="PF Square Sans Pro Extra Black;" w:cs="PF Square Sans Pro Extra Black;"/>
    </w:rPr>
  </w:style>
  <w:style w:type="character" w:styleId="WW8Num23z1" w:customStyle="1">
    <w:name w:val="WW8Num23z1"/>
    <w:qFormat/>
    <w:rPr>
      <w:rFonts w:ascii="Courier New" w:hAnsi="Courier New" w:cs="Courier New"/>
    </w:rPr>
  </w:style>
  <w:style w:type="character" w:styleId="WW8Num23z2" w:customStyle="1">
    <w:name w:val="WW8Num23z2"/>
    <w:qFormat/>
    <w:rPr>
      <w:rFonts w:ascii="Wingdings" w:hAnsi="Wingdings" w:cs="Wingdings"/>
    </w:rPr>
  </w:style>
  <w:style w:type="character" w:styleId="WW8Num23z3" w:customStyle="1">
    <w:name w:val="WW8Num23z3"/>
    <w:qFormat/>
    <w:rPr>
      <w:rFonts w:ascii="Symbol" w:hAnsi="Symbol" w:cs="Symbol"/>
    </w:rPr>
  </w:style>
  <w:style w:type="character" w:styleId="WW8Num24z0" w:customStyle="1">
    <w:name w:val="WW8Num24z0"/>
    <w:qFormat/>
    <w:rPr>
      <w:rFonts w:ascii="Wingdings" w:hAnsi="Wingdings" w:cs="Wingdings"/>
    </w:rPr>
  </w:style>
  <w:style w:type="character" w:styleId="WW8Num24z1" w:customStyle="1">
    <w:name w:val="WW8Num24z1"/>
    <w:qFormat/>
    <w:rPr>
      <w:rFonts w:ascii="Courier New" w:hAnsi="Courier New" w:cs="Courier New"/>
    </w:rPr>
  </w:style>
  <w:style w:type="character" w:styleId="WW8Num24z3" w:customStyle="1">
    <w:name w:val="WW8Num24z3"/>
    <w:qFormat/>
    <w:rPr>
      <w:rFonts w:ascii="Symbol" w:hAnsi="Symbol" w:cs="Symbol"/>
    </w:rPr>
  </w:style>
  <w:style w:type="character" w:styleId="WW8Num25z0" w:customStyle="1">
    <w:name w:val="WW8Num25z0"/>
    <w:qFormat/>
    <w:rPr>
      <w:rFonts w:ascii="Noto Sans Symbols;Calibri" w:hAnsi="Noto Sans Symbols;Calibri" w:eastAsia="Noto Sans Symbols;Calibri" w:cs="Noto Sans Symbols;Calibri"/>
      <w:position w:val="0"/>
      <w:sz w:val="24"/>
      <w:sz w:val="24"/>
      <w:vertAlign w:val="baseline"/>
    </w:rPr>
  </w:style>
  <w:style w:type="character" w:styleId="WW8Num26z0" w:customStyle="1">
    <w:name w:val="WW8Num26z0"/>
    <w:qFormat/>
    <w:rPr>
      <w:u w:val="none"/>
    </w:rPr>
  </w:style>
  <w:style w:type="character" w:styleId="WW8Num27z0" w:customStyle="1">
    <w:name w:val="WW8Num27z0"/>
    <w:qFormat/>
    <w:rPr>
      <w:rFonts w:ascii="Symbol" w:hAnsi="Symbol" w:cs="Symbol"/>
    </w:rPr>
  </w:style>
  <w:style w:type="character" w:styleId="WW8Num27z1" w:customStyle="1">
    <w:name w:val="WW8Num27z1"/>
    <w:qFormat/>
    <w:rPr>
      <w:rFonts w:ascii="Courier New" w:hAnsi="Courier New" w:cs="Courier New"/>
    </w:rPr>
  </w:style>
  <w:style w:type="character" w:styleId="WW8Num27z2" w:customStyle="1">
    <w:name w:val="WW8Num27z2"/>
    <w:qFormat/>
    <w:rPr>
      <w:rFonts w:ascii="Wingdings" w:hAnsi="Wingdings" w:cs="Wingdings"/>
    </w:rPr>
  </w:style>
  <w:style w:type="character" w:styleId="WW8Num28z0" w:customStyle="1">
    <w:name w:val="WW8Num28z0"/>
    <w:qFormat/>
    <w:rPr>
      <w:rFonts w:ascii="Wingdings" w:hAnsi="Wingdings" w:cs="Wingdings"/>
    </w:rPr>
  </w:style>
  <w:style w:type="character" w:styleId="WW8Num28z1" w:customStyle="1">
    <w:name w:val="WW8Num28z1"/>
    <w:qFormat/>
    <w:rPr>
      <w:rFonts w:ascii="Courier New" w:hAnsi="Courier New" w:cs="Courier New"/>
    </w:rPr>
  </w:style>
  <w:style w:type="character" w:styleId="WW8Num28z3" w:customStyle="1">
    <w:name w:val="WW8Num28z3"/>
    <w:qFormat/>
    <w:rPr>
      <w:rFonts w:ascii="Symbol" w:hAnsi="Symbol" w:cs="Symbol"/>
    </w:rPr>
  </w:style>
  <w:style w:type="character" w:styleId="WW8Num29z0" w:customStyle="1">
    <w:name w:val="WW8Num29z0"/>
    <w:qFormat/>
    <w:rPr>
      <w:rFonts w:ascii="Symbol" w:hAnsi="Symbol" w:cs="Symbol"/>
    </w:rPr>
  </w:style>
  <w:style w:type="character" w:styleId="WW8Num29z1" w:customStyle="1">
    <w:name w:val="WW8Num29z1"/>
    <w:qFormat/>
    <w:rPr>
      <w:rFonts w:ascii="Courier New" w:hAnsi="Courier New" w:cs="Courier New"/>
    </w:rPr>
  </w:style>
  <w:style w:type="character" w:styleId="WW8Num29z2" w:customStyle="1">
    <w:name w:val="WW8Num29z2"/>
    <w:qFormat/>
    <w:rPr>
      <w:rFonts w:ascii="Wingdings" w:hAnsi="Wingdings" w:cs="Wingdings"/>
    </w:rPr>
  </w:style>
  <w:style w:type="character" w:styleId="WW8Num30z0" w:customStyle="1">
    <w:name w:val="WW8Num30z0"/>
    <w:qFormat/>
    <w:rPr>
      <w:rFonts w:ascii="Symbol" w:hAnsi="Symbol" w:cs="Symbol"/>
      <w:sz w:val="20"/>
    </w:rPr>
  </w:style>
  <w:style w:type="character" w:styleId="Hyperlink" w:customStyle="1">
    <w:name w:val="Hyperlink"/>
    <w:qFormat/>
    <w:rPr>
      <w:color w:val="000080"/>
      <w:u w:val="single"/>
    </w:rPr>
  </w:style>
  <w:style w:type="character" w:styleId="IntenseEmphasis">
    <w:name w:val="Intense Emphasis"/>
    <w:qFormat/>
    <w:rPr>
      <w:b/>
      <w:bCs/>
    </w:rPr>
  </w:style>
  <w:style w:type="character" w:styleId="1" w:customStyle="1">
    <w:name w:val="Έμφαση1"/>
    <w:qFormat/>
    <w:rPr>
      <w:i/>
      <w:iCs/>
    </w:rPr>
  </w:style>
  <w:style w:type="character" w:styleId="BodyTextChar" w:customStyle="1">
    <w:name w:val="Body Text Char"/>
    <w:qFormat/>
    <w:rPr>
      <w:rFonts w:cs="Calibri"/>
      <w:sz w:val="22"/>
      <w:szCs w:val="22"/>
    </w:rPr>
  </w:style>
  <w:style w:type="character" w:styleId="11" w:customStyle="1">
    <w:name w:val="Έντονη έμφαση1"/>
    <w:qFormat/>
    <w:rPr>
      <w:b/>
      <w:bCs/>
    </w:rPr>
  </w:style>
  <w:style w:type="character" w:styleId="Strong">
    <w:name w:val="Strong"/>
    <w:qFormat/>
    <w:rPr>
      <w:b/>
      <w:bCs/>
    </w:rPr>
  </w:style>
  <w:style w:type="character" w:styleId="Emphasis" w:customStyle="1">
    <w:name w:val="Emphasis"/>
    <w:qFormat/>
    <w:rPr>
      <w:i/>
      <w:iCs/>
    </w:rPr>
  </w:style>
  <w:style w:type="character" w:styleId="yiv5027252587bumpedfont15" w:customStyle="1">
    <w:name w:val="yiv5027252587bumpedfont15"/>
    <w:qFormat/>
    <w:rPr/>
  </w:style>
  <w:style w:type="character" w:styleId="HeaderChar" w:customStyle="1">
    <w:name w:val="Header Char"/>
    <w:qFormat/>
    <w:rPr>
      <w:sz w:val="22"/>
      <w:szCs w:val="22"/>
    </w:rPr>
  </w:style>
  <w:style w:type="character" w:styleId="FooterChar" w:customStyle="1">
    <w:name w:val="Footer Char"/>
    <w:qFormat/>
    <w:rPr>
      <w:sz w:val="22"/>
      <w:szCs w:val="22"/>
    </w:rPr>
  </w:style>
  <w:style w:type="character" w:styleId="Heading2Char" w:customStyle="1">
    <w:name w:val="Heading 2 Char"/>
    <w:qFormat/>
    <w:rPr>
      <w:rFonts w:ascii="Times New Roman" w:hAnsi="Times New Roman" w:eastAsia="Times New Roman" w:cs="Times New Roman"/>
      <w:b/>
      <w:bCs/>
      <w:sz w:val="36"/>
      <w:szCs w:val="36"/>
    </w:rPr>
  </w:style>
  <w:style w:type="character" w:styleId="galleria-current" w:customStyle="1">
    <w:name w:val="galleria-current"/>
    <w:qFormat/>
    <w:rPr/>
  </w:style>
  <w:style w:type="character" w:styleId="galleria-total" w:customStyle="1">
    <w:name w:val="galleria-total"/>
    <w:qFormat/>
    <w:rPr/>
  </w:style>
  <w:style w:type="character" w:styleId="Heading1Char" w:customStyle="1">
    <w:name w:val="Heading 1 Char"/>
    <w:qFormat/>
    <w:rPr>
      <w:rFonts w:ascii="Calibri Light" w:hAnsi="Calibri Light" w:eastAsia="Times New Roman" w:cs="Times New Roman"/>
      <w:b/>
      <w:bCs/>
      <w:kern w:val="2"/>
      <w:sz w:val="32"/>
      <w:szCs w:val="32"/>
    </w:rPr>
  </w:style>
  <w:style w:type="character" w:styleId="FollowedHyperlink">
    <w:name w:val="FollowedHyperlink"/>
    <w:qFormat/>
    <w:rPr>
      <w:color w:val="954F72"/>
      <w:u w:val="single"/>
    </w:rPr>
  </w:style>
  <w:style w:type="character" w:styleId="annotationreference">
    <w:name w:val="annotation reference"/>
    <w:qFormat/>
    <w:rPr>
      <w:sz w:val="16"/>
      <w:szCs w:val="16"/>
    </w:rPr>
  </w:style>
  <w:style w:type="character" w:styleId="CommentTextChar" w:customStyle="1">
    <w:name w:val="Comment Text Char"/>
    <w:qFormat/>
    <w:rPr>
      <w:kern w:val="2"/>
    </w:rPr>
  </w:style>
  <w:style w:type="character" w:styleId="BalloonTextChar" w:customStyle="1">
    <w:name w:val="Balloon Text Char"/>
    <w:qFormat/>
    <w:rPr>
      <w:rFonts w:ascii="Segoe UI" w:hAnsi="Segoe UI" w:cs="Segoe UI"/>
      <w:sz w:val="18"/>
      <w:szCs w:val="18"/>
    </w:rPr>
  </w:style>
  <w:style w:type="character" w:styleId="TitleChar" w:customStyle="1">
    <w:name w:val="Title Char"/>
    <w:qFormat/>
    <w:rPr>
      <w:rFonts w:cs="Calibri"/>
      <w:b/>
      <w:bCs/>
      <w:sz w:val="32"/>
      <w:szCs w:val="32"/>
    </w:rPr>
  </w:style>
  <w:style w:type="character" w:styleId="Heading3Char" w:customStyle="1">
    <w:name w:val="Heading 3 Char"/>
    <w:qFormat/>
    <w:rPr>
      <w:rFonts w:ascii="Calibri Light" w:hAnsi="Calibri Light" w:eastAsia="Times New Roman" w:cs="Times New Roman"/>
      <w:b/>
      <w:bCs/>
      <w:sz w:val="26"/>
      <w:szCs w:val="26"/>
    </w:rPr>
  </w:style>
  <w:style w:type="character" w:styleId="iconstorylink" w:customStyle="1">
    <w:name w:val="icon_story_link"/>
    <w:qFormat/>
    <w:rPr/>
  </w:style>
  <w:style w:type="character" w:styleId="Style11" w:customStyle="1">
    <w:name w:val="Κουκκίδες"/>
    <w:qFormat/>
    <w:rPr>
      <w:rFonts w:ascii="OpenSymbol" w:hAnsi="OpenSymbol" w:eastAsia="OpenSymbol" w:cs="OpenSymbol"/>
    </w:rPr>
  </w:style>
  <w:style w:type="character" w:styleId="Style12" w:customStyle="1">
    <w:name w:val="Χαρακτήρες αρίθμησης"/>
    <w:qFormat/>
    <w:rPr/>
  </w:style>
  <w:style w:type="paragraph" w:styleId="Style13" w:customStyle="1">
    <w:name w:val="Επικεφαλίδα"/>
    <w:basedOn w:val="Normal"/>
    <w:next w:val="BodyText"/>
    <w:qFormat/>
    <w:pPr>
      <w:widowControl w:val="false"/>
      <w:spacing w:lineRule="auto" w:line="240" w:before="255" w:after="0"/>
      <w:ind w:start="558"/>
    </w:pPr>
    <w:rPr>
      <w:rFonts w:cs="Calibri"/>
      <w:b/>
      <w:bCs/>
      <w:sz w:val="32"/>
      <w:szCs w:val="32"/>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next w:val="Normal"/>
    <w:qFormat/>
    <w:pPr>
      <w:spacing w:lineRule="auto" w:line="240" w:before="0" w:after="0"/>
      <w:ind w:start="397"/>
      <w:jc w:val="end"/>
    </w:pPr>
    <w:rPr>
      <w:rFonts w:ascii="Times New Roman" w:hAnsi="Times New Roman" w:eastAsia="Times New Roman"/>
      <w:sz w:val="24"/>
      <w:szCs w:val="20"/>
      <w:u w:val="single"/>
    </w:rPr>
  </w:style>
  <w:style w:type="paragraph" w:styleId="Style14" w:customStyle="1">
    <w:name w:val="Ευρετήριο"/>
    <w:basedOn w:val="Normal"/>
    <w:qFormat/>
    <w:pPr>
      <w:suppressLineNumbers/>
    </w:pPr>
    <w:rPr>
      <w:rFonts w:cs="Lucida Sans"/>
    </w:rPr>
  </w:style>
  <w:style w:type="paragraph" w:styleId="NormalWeb">
    <w:name w:val="Normal (Web)"/>
    <w:basedOn w:val="Normal"/>
    <w:qFormat/>
    <w:pPr>
      <w:spacing w:lineRule="auto" w:line="240" w:before="280" w:after="280"/>
    </w:pPr>
    <w:rPr>
      <w:rFonts w:ascii="Times New Roman" w:hAnsi="Times New Roman" w:eastAsia="Times New Roman"/>
      <w:sz w:val="24"/>
      <w:szCs w:val="24"/>
    </w:rPr>
  </w:style>
  <w:style w:type="paragraph" w:styleId="ListParagraph">
    <w:name w:val="List Paragraph"/>
    <w:basedOn w:val="Normal"/>
    <w:qFormat/>
    <w:pPr>
      <w:spacing w:lineRule="auto" w:line="252" w:before="0" w:after="160"/>
      <w:ind w:start="720"/>
      <w:contextualSpacing/>
    </w:pPr>
    <w:rPr/>
  </w:style>
  <w:style w:type="paragraph" w:styleId="Style15" w:customStyle="1">
    <w:name w:val="Περιεχόμενα πίνακα"/>
    <w:basedOn w:val="Normal"/>
    <w:qFormat/>
    <w:pPr>
      <w:suppressLineNumbers/>
      <w:spacing w:lineRule="auto" w:line="240" w:before="0" w:after="0"/>
    </w:pPr>
    <w:rPr>
      <w:rFonts w:ascii="Arial" w:hAnsi="Arial" w:eastAsia="WenQuanYi Micro Hei" w:cs="Arial"/>
      <w:kern w:val="2"/>
      <w:sz w:val="24"/>
      <w:szCs w:val="24"/>
      <w:lang w:bidi="hi-IN"/>
    </w:rPr>
  </w:style>
  <w:style w:type="paragraph" w:styleId="western" w:customStyle="1">
    <w:name w:val="western"/>
    <w:basedOn w:val="Normal"/>
    <w:qFormat/>
    <w:pPr>
      <w:spacing w:lineRule="auto" w:line="288" w:before="280" w:after="142"/>
    </w:pPr>
    <w:rPr>
      <w:rFonts w:eastAsia="Times New Roman" w:cs="Calibri"/>
      <w:color w:val="000000"/>
    </w:rPr>
  </w:style>
  <w:style w:type="paragraph" w:styleId="Default" w:customStyle="1">
    <w:name w:val="Default"/>
    <w:qFormat/>
    <w:pPr>
      <w:widowControl/>
      <w:suppressAutoHyphens w:val="true"/>
      <w:bidi w:val="0"/>
      <w:spacing w:before="0" w:after="0"/>
      <w:jc w:val="start"/>
    </w:pPr>
    <w:rPr>
      <w:rFonts w:ascii="Arial" w:hAnsi="Arial" w:eastAsia="Calibri" w:cs="Arial"/>
      <w:color w:val="000000"/>
      <w:kern w:val="0"/>
      <w:sz w:val="22"/>
      <w:szCs w:val="24"/>
      <w:lang w:val="el-GR" w:eastAsia="zh-CN" w:bidi="ar-SA"/>
    </w:rPr>
  </w:style>
  <w:style w:type="paragraph" w:styleId="yiv5027252587s8" w:customStyle="1">
    <w:name w:val="yiv5027252587s8"/>
    <w:basedOn w:val="Normal"/>
    <w:qFormat/>
    <w:pPr>
      <w:spacing w:lineRule="auto" w:line="240" w:before="280" w:after="280"/>
    </w:pPr>
    <w:rPr>
      <w:rFonts w:ascii="Times New Roman" w:hAnsi="Times New Roman" w:eastAsia="Times New Roman"/>
      <w:sz w:val="24"/>
      <w:szCs w:val="24"/>
    </w:rPr>
  </w:style>
  <w:style w:type="paragraph" w:styleId="NoSpacing1" w:customStyle="1">
    <w:name w:val="No Spacing1"/>
    <w:basedOn w:val="Normal"/>
    <w:qFormat/>
    <w:pPr>
      <w:spacing w:lineRule="auto" w:line="240" w:before="280" w:after="280"/>
    </w:pPr>
    <w:rPr>
      <w:rFonts w:ascii="Times New Roman" w:hAnsi="Times New Roman" w:eastAsia="Times New Roman"/>
      <w:color w:val="00000A"/>
      <w:sz w:val="24"/>
      <w:szCs w:val="24"/>
    </w:rPr>
  </w:style>
  <w:style w:type="paragraph" w:styleId="NormalWeb1" w:customStyle="1">
    <w:name w:val="Normal (Web)1"/>
    <w:basedOn w:val="Normal"/>
    <w:qFormat/>
    <w:pPr>
      <w:spacing w:lineRule="auto" w:line="240" w:before="280" w:after="280"/>
    </w:pPr>
    <w:rPr>
      <w:rFonts w:ascii="Times New Roman" w:hAnsi="Times New Roman" w:eastAsia="Times New Roman"/>
      <w:kern w:val="2"/>
      <w:sz w:val="24"/>
      <w:szCs w:val="24"/>
    </w:rPr>
  </w:style>
  <w:style w:type="paragraph" w:styleId="ListParagraph1" w:customStyle="1">
    <w:name w:val="List Paragraph1"/>
    <w:basedOn w:val="Normal"/>
    <w:qFormat/>
    <w:pPr>
      <w:ind w:start="720"/>
    </w:pPr>
    <w:rPr/>
  </w:style>
  <w:style w:type="paragraph" w:styleId="12" w:customStyle="1">
    <w:name w:val="Παράγραφος λίστας1"/>
    <w:basedOn w:val="Normal"/>
    <w:qFormat/>
    <w:pPr>
      <w:spacing w:before="0" w:after="200"/>
      <w:ind w:start="720"/>
      <w:contextualSpacing/>
    </w:pPr>
    <w:rPr/>
  </w:style>
  <w:style w:type="paragraph" w:styleId="Style16">
    <w:name w:val="Κεφαλίδα και υποσέλιδο"/>
    <w:basedOn w:val="Normal"/>
    <w:qFormat/>
    <w:pPr/>
    <w:rPr/>
  </w:style>
  <w:style w:type="paragraph" w:styleId="Header">
    <w:name w:val="Header"/>
    <w:basedOn w:val="Normal"/>
    <w:pPr/>
    <w:rPr/>
  </w:style>
  <w:style w:type="paragraph" w:styleId="Footer">
    <w:name w:val="Footer"/>
    <w:basedOn w:val="Normal"/>
    <w:pPr/>
    <w:rPr/>
  </w:style>
  <w:style w:type="paragraph" w:styleId="xmsonormal" w:customStyle="1">
    <w:name w:val="x_msonormal"/>
    <w:basedOn w:val="Normal"/>
    <w:qFormat/>
    <w:pPr>
      <w:spacing w:lineRule="auto" w:line="240" w:before="280" w:after="280"/>
    </w:pPr>
    <w:rPr>
      <w:rFonts w:ascii="Times New Roman" w:hAnsi="Times New Roman" w:eastAsia="Times New Roman"/>
      <w:sz w:val="24"/>
      <w:szCs w:val="24"/>
    </w:rPr>
  </w:style>
  <w:style w:type="paragraph" w:styleId="2" w:customStyle="1">
    <w:name w:val="Παράγραφος λίστας2"/>
    <w:basedOn w:val="Normal"/>
    <w:qFormat/>
    <w:pPr>
      <w:spacing w:lineRule="auto" w:line="252" w:before="0" w:after="160"/>
      <w:ind w:start="720"/>
      <w:contextualSpacing/>
    </w:pPr>
    <w:rPr/>
  </w:style>
  <w:style w:type="paragraph" w:styleId="msobodytextcxsp" w:customStyle="1">
    <w:name w:val="msobodytextcxspπρώτο"/>
    <w:basedOn w:val="Normal"/>
    <w:qFormat/>
    <w:pPr>
      <w:spacing w:lineRule="auto" w:line="240" w:before="280" w:after="280"/>
    </w:pPr>
    <w:rPr>
      <w:rFonts w:ascii="Times New Roman" w:hAnsi="Times New Roman" w:eastAsia="Times New Roman"/>
      <w:sz w:val="24"/>
      <w:szCs w:val="24"/>
    </w:rPr>
  </w:style>
  <w:style w:type="paragraph" w:styleId="msobodytextcxsp1" w:customStyle="1">
    <w:name w:val="msobodytextcxspμεσαίο"/>
    <w:basedOn w:val="Normal"/>
    <w:qFormat/>
    <w:pPr>
      <w:spacing w:lineRule="auto" w:line="240" w:before="280" w:after="280"/>
    </w:pPr>
    <w:rPr>
      <w:rFonts w:ascii="Times New Roman" w:hAnsi="Times New Roman" w:eastAsia="Times New Roman"/>
      <w:sz w:val="24"/>
      <w:szCs w:val="24"/>
    </w:rPr>
  </w:style>
  <w:style w:type="paragraph" w:styleId="msobodytextcxsp2" w:customStyle="1">
    <w:name w:val="msobodytextcxspτελευταίο"/>
    <w:basedOn w:val="Normal"/>
    <w:qFormat/>
    <w:pPr>
      <w:spacing w:lineRule="auto" w:line="240" w:before="280" w:after="280"/>
    </w:pPr>
    <w:rPr>
      <w:rFonts w:ascii="Times New Roman" w:hAnsi="Times New Roman" w:eastAsia="Times New Roman"/>
      <w:sz w:val="24"/>
      <w:szCs w:val="24"/>
    </w:rPr>
  </w:style>
  <w:style w:type="paragraph" w:styleId="ydp8d5ff8ecmsonormal" w:customStyle="1">
    <w:name w:val="ydp8d5ff8ecmsonormal"/>
    <w:basedOn w:val="Normal"/>
    <w:qFormat/>
    <w:pPr>
      <w:spacing w:lineRule="auto" w:line="240" w:before="280" w:after="280"/>
    </w:pPr>
    <w:rPr>
      <w:rFonts w:ascii="Times New Roman" w:hAnsi="Times New Roman" w:eastAsia="Times New Roman"/>
      <w:sz w:val="24"/>
      <w:szCs w:val="24"/>
    </w:rPr>
  </w:style>
  <w:style w:type="paragraph" w:styleId="yiv7933209559ydp29152df7yiv8358651905ydpcc5cbe09msonormal" w:customStyle="1">
    <w:name w:val="yiv7933209559ydp29152df7yiv8358651905ydpcc5cbe09msonormal"/>
    <w:basedOn w:val="Normal"/>
    <w:qFormat/>
    <w:pPr>
      <w:spacing w:lineRule="auto" w:line="240" w:before="280" w:after="280"/>
    </w:pPr>
    <w:rPr>
      <w:rFonts w:ascii="Times New Roman" w:hAnsi="Times New Roman" w:eastAsia="Times New Roman"/>
      <w:sz w:val="24"/>
      <w:szCs w:val="24"/>
    </w:rPr>
  </w:style>
  <w:style w:type="paragraph" w:styleId="Normal1" w:customStyle="1">
    <w:name w:val="Normal1"/>
    <w:qFormat/>
    <w:pPr>
      <w:widowControl/>
      <w:suppressAutoHyphens w:val="true"/>
      <w:bidi w:val="0"/>
      <w:spacing w:lineRule="auto" w:line="252" w:before="0" w:after="160"/>
      <w:jc w:val="start"/>
    </w:pPr>
    <w:rPr>
      <w:rFonts w:ascii="Calibri" w:hAnsi="Calibri" w:eastAsia="Calibri" w:cs="Calibri"/>
      <w:color w:val="auto"/>
      <w:kern w:val="0"/>
      <w:sz w:val="22"/>
      <w:szCs w:val="22"/>
      <w:lang w:val="el-GR" w:eastAsia="zh-CN" w:bidi="ar-SA"/>
    </w:rPr>
  </w:style>
  <w:style w:type="paragraph" w:styleId="Standard" w:customStyle="1">
    <w:name w:val="Standard"/>
    <w:qFormat/>
    <w:pPr>
      <w:widowControl w:val="false"/>
      <w:suppressAutoHyphens w:val="true"/>
      <w:bidi w:val="0"/>
      <w:spacing w:before="0" w:after="0"/>
      <w:jc w:val="start"/>
      <w:textAlignment w:val="baseline"/>
    </w:pPr>
    <w:rPr>
      <w:rFonts w:ascii="Liberation Serif" w:hAnsi="Liberation Serif" w:eastAsia="SimSun;宋体" w:cs="Mangal"/>
      <w:color w:val="auto"/>
      <w:kern w:val="2"/>
      <w:sz w:val="22"/>
      <w:szCs w:val="24"/>
      <w:lang w:val="el-GR" w:eastAsia="zh-CN" w:bidi="hi-IN"/>
    </w:rPr>
  </w:style>
  <w:style w:type="paragraph" w:styleId="ListBullet">
    <w:name w:val="List Bullet"/>
    <w:basedOn w:val="Normal"/>
    <w:qFormat/>
    <w:pPr>
      <w:spacing w:before="0" w:after="200"/>
      <w:contextualSpacing/>
    </w:pPr>
    <w:rPr/>
  </w:style>
  <w:style w:type="paragraph" w:styleId="Bullet1" w:customStyle="1">
    <w:name w:val="Bullet1"/>
    <w:basedOn w:val="ListBullet"/>
    <w:qFormat/>
    <w:pPr>
      <w:spacing w:lineRule="auto" w:line="240" w:before="0" w:after="0"/>
      <w:ind w:start="1429"/>
      <w:contextualSpacing/>
      <w:jc w:val="both"/>
    </w:pPr>
    <w:rPr>
      <w:rFonts w:ascii="Times New Roman" w:hAnsi="Times New Roman" w:eastAsia="Times New Roman"/>
      <w:sz w:val="24"/>
      <w:szCs w:val="20"/>
    </w:rPr>
  </w:style>
  <w:style w:type="paragraph" w:styleId="TableParagraph" w:customStyle="1">
    <w:name w:val="Table Paragraph"/>
    <w:basedOn w:val="Normal"/>
    <w:qFormat/>
    <w:pPr>
      <w:widowControl w:val="false"/>
      <w:spacing w:lineRule="auto" w:line="240" w:before="0" w:after="0"/>
    </w:pPr>
    <w:rPr>
      <w:rFonts w:cs="Calibri"/>
    </w:rPr>
  </w:style>
  <w:style w:type="paragraph" w:styleId="13" w:customStyle="1">
    <w:name w:val="Βασικό1"/>
    <w:qFormat/>
    <w:pPr>
      <w:widowControl/>
      <w:suppressAutoHyphens w:val="true"/>
      <w:bidi w:val="0"/>
      <w:spacing w:lineRule="auto" w:line="252" w:before="0" w:after="160"/>
      <w:jc w:val="start"/>
    </w:pPr>
    <w:rPr>
      <w:rFonts w:ascii="Calibri" w:hAnsi="Calibri" w:eastAsia="Calibri" w:cs="Calibri"/>
      <w:color w:val="auto"/>
      <w:kern w:val="0"/>
      <w:sz w:val="22"/>
      <w:szCs w:val="22"/>
      <w:lang w:val="el-GR" w:eastAsia="zh-CN" w:bidi="ar-SA"/>
    </w:rPr>
  </w:style>
  <w:style w:type="paragraph" w:styleId="NoSpacing">
    <w:name w:val="No Spacing"/>
    <w:qFormat/>
    <w:pPr>
      <w:widowControl/>
      <w:suppressAutoHyphens w:val="true"/>
      <w:bidi w:val="0"/>
      <w:spacing w:before="0" w:after="0"/>
      <w:jc w:val="start"/>
    </w:pPr>
    <w:rPr>
      <w:rFonts w:ascii="Calibri" w:hAnsi="Calibri" w:eastAsia="Times New Roman" w:cs="Calibri"/>
      <w:color w:val="auto"/>
      <w:kern w:val="0"/>
      <w:sz w:val="22"/>
      <w:szCs w:val="22"/>
      <w:lang w:val="el-GR" w:eastAsia="zh-CN" w:bidi="ar-SA"/>
    </w:rPr>
  </w:style>
  <w:style w:type="paragraph" w:styleId="yiv7900838925ydpeaceb2b0msonormal" w:customStyle="1">
    <w:name w:val="yiv7900838925ydpeaceb2b0msonormal"/>
    <w:basedOn w:val="Normal"/>
    <w:qFormat/>
    <w:pPr>
      <w:spacing w:lineRule="auto" w:line="240" w:before="280" w:after="280"/>
    </w:pPr>
    <w:rPr>
      <w:rFonts w:ascii="Times New Roman" w:hAnsi="Times New Roman" w:eastAsia="Times New Roman"/>
      <w:sz w:val="24"/>
      <w:szCs w:val="24"/>
    </w:rPr>
  </w:style>
  <w:style w:type="paragraph" w:styleId="yiv7900838925ydpeaceb2b0listparagraph" w:customStyle="1">
    <w:name w:val="yiv7900838925ydpeaceb2b0listparagraph"/>
    <w:basedOn w:val="Normal"/>
    <w:qFormat/>
    <w:pPr>
      <w:spacing w:lineRule="auto" w:line="240" w:before="280" w:after="280"/>
    </w:pPr>
    <w:rPr>
      <w:rFonts w:ascii="Times New Roman" w:hAnsi="Times New Roman" w:eastAsia="Times New Roman"/>
      <w:sz w:val="24"/>
      <w:szCs w:val="24"/>
    </w:rPr>
  </w:style>
  <w:style w:type="paragraph" w:styleId="AnnotationText">
    <w:name w:val="Annotation Text"/>
    <w:basedOn w:val="Normal"/>
    <w:qFormat/>
    <w:pPr>
      <w:spacing w:lineRule="auto" w:line="240" w:before="0" w:after="160"/>
    </w:pPr>
    <w:rPr>
      <w:kern w:val="2"/>
      <w:sz w:val="20"/>
      <w:szCs w:val="20"/>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ydp19c957dbyiv0822202871ydp51b919ecyiv8949746417ydp69653723msonormal" w:customStyle="1">
    <w:name w:val="ydp19c957dbyiv0822202871ydp51b919ecyiv8949746417ydp69653723msonormal"/>
    <w:basedOn w:val="Normal"/>
    <w:qFormat/>
    <w:pPr>
      <w:spacing w:lineRule="auto" w:line="240" w:before="280" w:after="280"/>
    </w:pPr>
    <w:rPr>
      <w:rFonts w:ascii="Times New Roman" w:hAnsi="Times New Roman" w:eastAsia="Times New Roman"/>
      <w:sz w:val="24"/>
      <w:szCs w:val="24"/>
    </w:rPr>
  </w:style>
  <w:style w:type="paragraph" w:styleId="yiv2397814828ydp58afcd3fmsonormal" w:customStyle="1">
    <w:name w:val="yiv2397814828ydp58afcd3fmsonormal"/>
    <w:basedOn w:val="Normal"/>
    <w:qFormat/>
    <w:pPr>
      <w:spacing w:lineRule="auto" w:line="240" w:before="280" w:after="280"/>
    </w:pPr>
    <w:rPr>
      <w:rFonts w:ascii="Times New Roman" w:hAnsi="Times New Roman" w:eastAsia="Times New Roman"/>
      <w:sz w:val="24"/>
      <w:szCs w:val="24"/>
    </w:rPr>
  </w:style>
  <w:style w:type="paragraph" w:styleId="BlockText">
    <w:name w:val="Block Text"/>
    <w:basedOn w:val="Normal"/>
    <w:qFormat/>
    <w:pPr>
      <w:ind w:start="-567" w:end="-483"/>
      <w:jc w:val="both"/>
    </w:pPr>
    <w:rPr>
      <w:rFonts w:ascii="Aptos" w:hAnsi="Aptos" w:cs="Arial"/>
      <w:sz w:val="24"/>
      <w:szCs w:val="24"/>
    </w:rPr>
  </w:style>
  <w:style w:type="paragraph" w:styleId="ydpd81aadfayiv9268786671ydp6be614acmsonormal" w:customStyle="1">
    <w:name w:val="ydpd81aadfayiv9268786671ydp6be614acmsonormal"/>
    <w:basedOn w:val="Normal"/>
    <w:qFormat/>
    <w:pPr>
      <w:spacing w:lineRule="auto" w:line="240" w:before="280" w:after="280"/>
    </w:pPr>
    <w:rPr>
      <w:rFonts w:ascii="Times New Roman" w:hAnsi="Times New Roman" w:eastAsia="Times New Roman"/>
      <w:sz w:val="24"/>
      <w:szCs w:val="24"/>
    </w:rPr>
  </w:style>
  <w:style w:type="paragraph" w:styleId="Style17">
    <w:name w:val="Περιεχόμενα πλαισίου"/>
    <w:basedOn w:val="Normal"/>
    <w:qFormat/>
    <w:pPr/>
    <w:rPr/>
  </w:style>
  <w:style w:type="paragraph" w:styleId="Style18" w:customStyle="1">
    <w:name w:val="Επικεφαλίδα πίνακα"/>
    <w:basedOn w:val="Style15"/>
    <w:qFormat/>
    <w:pPr>
      <w:jc w:val="center"/>
    </w:pPr>
    <w:rPr>
      <w:b/>
      <w:bCs/>
    </w:rPr>
  </w:style>
  <w:style w:type="paragraph" w:styleId="DocumentMap" w:customStyle="1">
    <w:name w:val="DocumentMap"/>
    <w:qFormat/>
    <w:pPr>
      <w:widowControl/>
      <w:suppressAutoHyphens w:val="true"/>
      <w:bidi w:val="0"/>
      <w:spacing w:before="0" w:after="0"/>
      <w:jc w:val="start"/>
    </w:pPr>
    <w:rPr>
      <w:rFonts w:ascii="Arial" w:hAnsi="Arial" w:eastAsia="Calibri" w:cs="Arial"/>
      <w:color w:val="auto"/>
      <w:kern w:val="0"/>
      <w:sz w:val="20"/>
      <w:szCs w:val="20"/>
      <w:lang w:val="el-GR" w:eastAsia="el-GR" w:bidi="ar-SA"/>
    </w:rPr>
  </w:style>
  <w:style w:type="numbering" w:styleId="Style19" w:default="1">
    <w:name w:val="Χωρίς κατάλογο"/>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Style20" w:customStyle="1">
    <w:name w:val="Κουκκίδα •"/>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sylbox@sylimvrioti.gr" TargetMode="External"/><Relationship Id="rId4" Type="http://schemas.openxmlformats.org/officeDocument/2006/relationships/hyperlink" Target="mailto:sylbox@sylimvrioti.gr" TargetMode="External"/><Relationship Id="rId5" Type="http://schemas.openxmlformats.org/officeDocument/2006/relationships/image" Target="media/image2.pn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175</TotalTime>
  <Application>LibreOffice/24.2.7.2$Linux_X86_64 LibreOffice_project/420$Build-2</Application>
  <AppVersion>15.0000</AppVersion>
  <Pages>2</Pages>
  <Words>928</Words>
  <Characters>5701</Characters>
  <CharactersWithSpaces>6604</CharactersWithSpaces>
  <Paragraphs>32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2026-02-14T21:10:10Z</dcterms:created>
  <dc:creator/>
  <dc:description/>
  <dc:language>el-GR</dc:language>
  <cp:lastModifiedBy/>
  <cp:lastPrinted>2026-02-17T20:43:43Z</cp:lastPrinted>
  <dcterms:modified xsi:type="dcterms:W3CDTF">2026-02-17T20:45:03Z</dcterms:modified>
  <cp:revision>36</cp:revision>
  <dc:subject/>
  <dc:title>ΣΥΛΛΟΓΟΣ ΕΚΠΑΙΔΕΥΤΙΚΩΝ 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