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0" w:after="200"/>
        <w:jc w:val="center"/>
        <w:rPr>
          <w:b/>
          <w:sz w:val="28"/>
          <w:szCs w:val="28"/>
        </w:rPr>
      </w:pPr>
      <w:r>
        <w:drawing>
          <wp:anchor behindDoc="0" distT="0" distB="0" distL="114300" distR="114300" simplePos="0" locked="0" layoutInCell="0" allowOverlap="1" relativeHeight="2">
            <wp:simplePos x="0" y="0"/>
            <wp:positionH relativeFrom="column">
              <wp:posOffset>1539240</wp:posOffset>
            </wp:positionH>
            <wp:positionV relativeFrom="paragraph">
              <wp:posOffset>-119380</wp:posOffset>
            </wp:positionV>
            <wp:extent cx="3219450" cy="1133475"/>
            <wp:effectExtent l="0" t="0" r="0" b="0"/>
            <wp:wrapTopAndBottom/>
            <wp:docPr id="1" name="Εικόνα 2" descr="aselogo"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Εικόνα 2" descr="aselogo" title=""/>
                    <pic:cNvPicPr>
                      <a:picLocks noChangeAspect="1" noChangeArrowheads="1"/>
                    </pic:cNvPicPr>
                  </pic:nvPicPr>
                  <pic:blipFill>
                    <a:blip r:embed="rId2"/>
                    <a:stretch>
                      <a:fillRect/>
                    </a:stretch>
                  </pic:blipFill>
                  <pic:spPr bwMode="auto">
                    <a:xfrm>
                      <a:off x="0" y="0"/>
                      <a:ext cx="3219450" cy="1133475"/>
                    </a:xfrm>
                    <a:prstGeom prst="rect">
                      <a:avLst/>
                    </a:prstGeom>
                  </pic:spPr>
                </pic:pic>
              </a:graphicData>
            </a:graphic>
          </wp:anchor>
        </w:drawing>
      </w:r>
      <w:r>
        <w:rPr>
          <w:b/>
          <w:sz w:val="28"/>
          <w:szCs w:val="28"/>
        </w:rPr>
        <w:t>Συλλόγου Εκπαιδευτικών Π.Ε. “ΡΟΖΑ ΙΜΒΡΙΩΤΗ”</w:t>
      </w:r>
    </w:p>
    <w:p>
      <w:pPr>
        <w:pStyle w:val="NormalWeb"/>
        <w:spacing w:beforeAutospacing="0" w:before="0" w:afterAutospacing="0" w:after="0"/>
        <w:jc w:val="center"/>
        <w:rPr>
          <w:rFonts w:ascii="Comic Sans MS" w:hAnsi="Comic Sans MS"/>
          <w:b/>
          <w:color w:val="FF0000"/>
          <w:sz w:val="32"/>
          <w:szCs w:val="32"/>
        </w:rPr>
      </w:pPr>
      <w:r>
        <w:rPr>
          <w:rFonts w:ascii="Comic Sans MS" w:hAnsi="Comic Sans MS"/>
          <w:b/>
          <w:color w:val="FF0000"/>
          <w:sz w:val="32"/>
          <w:szCs w:val="32"/>
        </w:rPr>
        <w:t>ΜΑΖΙ ΑΓΩΝΙΖΟΜΑΣΤΕ, ΜΑΖΙ ΝΙΚΑΜΕ!</w:t>
      </w:r>
    </w:p>
    <w:p>
      <w:pPr>
        <w:pStyle w:val="NormalWeb"/>
        <w:spacing w:beforeAutospacing="0" w:before="0" w:afterAutospacing="0" w:after="0"/>
        <w:jc w:val="center"/>
        <w:rPr>
          <w:rFonts w:ascii="Comic Sans MS" w:hAnsi="Comic Sans MS"/>
          <w:b/>
          <w:color w:val="FF0000"/>
          <w:sz w:val="32"/>
          <w:szCs w:val="32"/>
        </w:rPr>
      </w:pPr>
      <w:r>
        <w:rPr>
          <w:rFonts w:ascii="Comic Sans MS" w:hAnsi="Comic Sans MS"/>
          <w:b/>
          <w:color w:val="FF0000"/>
          <w:sz w:val="32"/>
          <w:szCs w:val="32"/>
        </w:rPr>
        <w:t>ΚΑΘΕ ΝΙΚΗ ΤΗΣ ΑΣΕ ΕΙΝΑΙ ΝΙΚΗ ΟΛΩΝ ΤΩΝ ΣΥΝΑΔΕΛΦΩΝ!</w:t>
      </w:r>
    </w:p>
    <w:p>
      <w:pPr>
        <w:pStyle w:val="NormalWeb"/>
        <w:spacing w:beforeAutospacing="0" w:before="0" w:afterAutospacing="0" w:after="0"/>
        <w:jc w:val="center"/>
        <w:rPr>
          <w:rFonts w:ascii="Comic Sans MS" w:hAnsi="Comic Sans MS"/>
          <w:b/>
          <w:color w:val="FF0000"/>
          <w:sz w:val="36"/>
          <w:szCs w:val="36"/>
        </w:rPr>
      </w:pPr>
      <w:r>
        <w:rPr>
          <w:rFonts w:ascii="Comic Sans MS" w:hAnsi="Comic Sans MS"/>
          <w:b/>
          <w:color w:val="FF0000"/>
          <w:sz w:val="36"/>
          <w:szCs w:val="36"/>
        </w:rPr>
      </w:r>
    </w:p>
    <w:p>
      <w:pPr>
        <w:pStyle w:val="Normal"/>
        <w:spacing w:lineRule="auto" w:line="276" w:before="0" w:after="142"/>
        <w:jc w:val="both"/>
        <w:rPr>
          <w:sz w:val="26"/>
          <w:szCs w:val="26"/>
        </w:rPr>
      </w:pPr>
      <w:r>
        <w:rPr>
          <w:b/>
          <w:bCs/>
          <w:sz w:val="26"/>
          <w:szCs w:val="26"/>
        </w:rPr>
        <w:tab/>
        <w:t>Χαιρετίζουμε όλους  τους Συναδέλφους και τις Συναδέλφισσες,</w:t>
      </w:r>
      <w:r>
        <w:rPr>
          <w:sz w:val="26"/>
          <w:szCs w:val="26"/>
        </w:rPr>
        <w:t xml:space="preserve"> μέλη του Συλλόγου μας “ΡΟΖΑ ΙΜΒΡΙΩΤΗ”, </w:t>
      </w:r>
      <w:r>
        <w:rPr>
          <w:b/>
          <w:bCs/>
          <w:sz w:val="26"/>
          <w:szCs w:val="26"/>
        </w:rPr>
        <w:t>που έλαβαν μέρος στην τακτική Γενική Συνέλευση</w:t>
      </w:r>
      <w:r>
        <w:rPr>
          <w:sz w:val="26"/>
          <w:szCs w:val="26"/>
        </w:rPr>
        <w:t xml:space="preserve"> του Συλλόγου μας 26/5 </w:t>
      </w:r>
      <w:r>
        <w:rPr>
          <w:b/>
          <w:bCs/>
          <w:sz w:val="26"/>
          <w:szCs w:val="26"/>
        </w:rPr>
        <w:t>και πολύ μαζικά στις εκλογές</w:t>
      </w:r>
      <w:r>
        <w:rPr>
          <w:sz w:val="26"/>
          <w:szCs w:val="26"/>
        </w:rPr>
        <w:t xml:space="preserve"> 27/5/2926 για ανάδειξη αντιπροσώπων στην 95</w:t>
      </w:r>
      <w:r>
        <w:rPr>
          <w:sz w:val="26"/>
          <w:szCs w:val="26"/>
          <w:vertAlign w:val="superscript"/>
        </w:rPr>
        <w:t xml:space="preserve">η </w:t>
      </w:r>
      <w:r>
        <w:rPr>
          <w:sz w:val="26"/>
          <w:szCs w:val="26"/>
        </w:rPr>
        <w:t xml:space="preserve">Γ.Σ. της ΔΟΕ! </w:t>
      </w:r>
      <w:r>
        <w:rPr>
          <w:b/>
          <w:bCs/>
          <w:sz w:val="26"/>
          <w:szCs w:val="26"/>
        </w:rPr>
        <w:t>Ευχαριστούμε όσους στήριξαν το ψηφοδέλτιο της ΑΣΕ</w:t>
      </w:r>
      <w:r>
        <w:rPr>
          <w:sz w:val="26"/>
          <w:szCs w:val="26"/>
        </w:rPr>
        <w:t xml:space="preserve"> και </w:t>
      </w:r>
      <w:r>
        <w:rPr>
          <w:b w:val="false"/>
          <w:bCs w:val="false"/>
          <w:sz w:val="26"/>
          <w:szCs w:val="26"/>
        </w:rPr>
        <w:t xml:space="preserve">ευελπιστούμε </w:t>
      </w:r>
      <w:r>
        <w:rPr>
          <w:b/>
          <w:bCs/>
          <w:sz w:val="26"/>
          <w:szCs w:val="26"/>
        </w:rPr>
        <w:t>να συναντηθούμε στον δρόμο του αγώνα με όλους τους συναδέλφους μας.</w:t>
      </w:r>
      <w:r>
        <w:rPr>
          <w:sz w:val="26"/>
          <w:szCs w:val="26"/>
        </w:rPr>
        <w:t xml:space="preserve"> Η μαζική συμμετοχή των συναδέλφων στις εκλογές </w:t>
      </w:r>
      <w:r>
        <w:rPr>
          <w:b/>
          <w:bCs/>
          <w:sz w:val="26"/>
          <w:szCs w:val="26"/>
        </w:rPr>
        <w:t xml:space="preserve">δείχνει την εμπιστοσύνη τους στο Σωματείο μας, </w:t>
      </w:r>
      <w:r>
        <w:rPr>
          <w:b w:val="false"/>
          <w:bCs w:val="false"/>
          <w:sz w:val="26"/>
          <w:szCs w:val="26"/>
        </w:rPr>
        <w:t xml:space="preserve">παράλληλα όμως </w:t>
      </w:r>
      <w:r>
        <w:rPr>
          <w:b/>
          <w:bCs/>
          <w:sz w:val="26"/>
          <w:szCs w:val="26"/>
        </w:rPr>
        <w:t>είναι ανάγκη να ενισχύσουμε και τη συμμετοχή μας στις Γ.Σ.</w:t>
      </w:r>
      <w:r>
        <w:rPr>
          <w:sz w:val="26"/>
          <w:szCs w:val="26"/>
        </w:rPr>
        <w:t xml:space="preserve"> και συνολικά στη ζωή και πλούσια δράση του Συλλόγου μας.</w:t>
      </w:r>
    </w:p>
    <w:p>
      <w:pPr>
        <w:pStyle w:val="Normal"/>
        <w:spacing w:lineRule="auto" w:line="276" w:before="0" w:after="142"/>
        <w:jc w:val="both"/>
        <w:rPr>
          <w:sz w:val="26"/>
          <w:szCs w:val="26"/>
        </w:rPr>
      </w:pPr>
      <w:r>
        <w:rPr>
          <w:b/>
          <w:sz w:val="26"/>
          <w:szCs w:val="26"/>
        </w:rPr>
        <w:tab/>
        <w:t>Η ΑΣΕ κατάφερε μια πολύ σημαντική νίκη</w:t>
      </w:r>
      <w:r>
        <w:rPr>
          <w:sz w:val="26"/>
          <w:szCs w:val="26"/>
        </w:rPr>
        <w:t xml:space="preserve">, </w:t>
      </w:r>
      <w:r>
        <w:rPr>
          <w:b/>
          <w:sz w:val="26"/>
          <w:szCs w:val="26"/>
        </w:rPr>
        <w:t>εκλέγοντας ξανά τους 4 από τους 5</w:t>
      </w:r>
      <w:r>
        <w:rPr>
          <w:sz w:val="26"/>
          <w:szCs w:val="26"/>
        </w:rPr>
        <w:t xml:space="preserve"> </w:t>
      </w:r>
      <w:r>
        <w:rPr>
          <w:b/>
          <w:bCs/>
          <w:sz w:val="26"/>
          <w:szCs w:val="26"/>
        </w:rPr>
        <w:t>αντιπροσώπους</w:t>
      </w:r>
      <w:r>
        <w:rPr>
          <w:sz w:val="26"/>
          <w:szCs w:val="26"/>
        </w:rPr>
        <w:t xml:space="preserve"> του Συλλόγου μας  “ΡΟΖΑ ΙΜΒΡΙΩΤΗ” που θα συμμετέχουν στην 95</w:t>
      </w:r>
      <w:r>
        <w:rPr>
          <w:sz w:val="26"/>
          <w:szCs w:val="26"/>
          <w:vertAlign w:val="superscript"/>
        </w:rPr>
        <w:t>η</w:t>
      </w:r>
      <w:r>
        <w:rPr>
          <w:sz w:val="26"/>
          <w:szCs w:val="26"/>
        </w:rPr>
        <w:t xml:space="preserve"> Γενική Συνέλευση της ΔΟΕ,  αυξάνοντας τις δυνάμεις της σε σχέση με τις εκλογές του περασμένου Νοέμβρη! </w:t>
      </w:r>
      <w:r>
        <w:rPr>
          <w:b/>
          <w:bCs/>
          <w:sz w:val="26"/>
          <w:szCs w:val="26"/>
        </w:rPr>
        <w:t xml:space="preserve">Το θετικό αποτέλεσμα για την ΑΣΕ στον Σύλλογό μας είναι νίκη για όλους τους συναδέλφους! </w:t>
      </w:r>
      <w:r>
        <w:rPr>
          <w:sz w:val="26"/>
          <w:szCs w:val="26"/>
          <w:u w:val="single"/>
        </w:rPr>
        <w:t>Οι ψήφοι που έλαβαν και σε αυτή την εκλογική αναμέτρηση οι δυνάμεις μας, θα κατατεθούν στους αγώνες, που πρέπει να ενταθούν το επόμενο διάστημα απέναντι στην αντιλαϊκή  πολιτική που μας εξουθενώνει και καταπατά τα βασικά δικαιώματα των μαθητών μας.</w:t>
      </w:r>
    </w:p>
    <w:p>
      <w:pPr>
        <w:pStyle w:val="Normal"/>
        <w:spacing w:lineRule="auto" w:line="276" w:before="0" w:after="142"/>
        <w:jc w:val="both"/>
        <w:rPr>
          <w:sz w:val="26"/>
          <w:szCs w:val="26"/>
        </w:rPr>
      </w:pPr>
      <w:r>
        <w:rPr>
          <w:b/>
          <w:bCs/>
          <w:sz w:val="26"/>
          <w:szCs w:val="26"/>
        </w:rPr>
        <w:tab/>
        <w:t>Το πολύ θετικό εκλογικό αποτέλεσμα μάς δίνει ώθηση να παλέψουμε</w:t>
      </w:r>
      <w:r>
        <w:rPr>
          <w:sz w:val="26"/>
          <w:szCs w:val="26"/>
        </w:rPr>
        <w:t xml:space="preserve"> για Συλλογική Σύμβαση Εργασίας με ουσιαστικές αυξήσεις στους μισθούς μας και εργασιακά δικαιώματα (εξίσωση ωραρίου Νηπιαγωγών με των υπόλοιπων εκπαιδευτικών και δικαιωμάτων αναπληρωτών με των μονίμων…), για αυξημένη κρατική χρηματοδότηση και σύγχρονες σχολικές υποδομές </w:t>
      </w:r>
      <w:r>
        <w:rPr>
          <w:b/>
          <w:bCs/>
          <w:sz w:val="26"/>
          <w:szCs w:val="26"/>
        </w:rPr>
        <w:t>και να αντιπαλέψουμε</w:t>
      </w:r>
      <w:r>
        <w:rPr>
          <w:sz w:val="26"/>
          <w:szCs w:val="26"/>
        </w:rPr>
        <w:t xml:space="preserve"> τα μέτρα που τσακίζουν τη μόρφωση των παιδιών μας, την αξιολόγηση-κατηγοριοποίηση σχολείων κι εκπαιδευτικών και το νέο πειθαρχικό, τις συμπτύξεις και τα κενά, τους λειψούς διορισμούς, την αντιδραστική Συνταγματική Αναθεώρηση, που προωθεί κατάργηση της μονιμότητας στο Δημόσιο, τη στροφή στην  πολεμική οικονομία, που φέρνει ακρίβεια και  κλείνει και τη στρόφιγγα των προσλήψεων των αναπληρωτών με ΕΣΠΑ, την απαξίωση του ρόλου μας και τον κατακερματισμό των Δημοσίων Σχολείων.</w:t>
      </w:r>
    </w:p>
    <w:p>
      <w:pPr>
        <w:pStyle w:val="Normal"/>
        <w:spacing w:lineRule="auto" w:line="276" w:before="0" w:after="142"/>
        <w:jc w:val="both"/>
        <w:rPr>
          <w:sz w:val="26"/>
          <w:szCs w:val="26"/>
        </w:rPr>
      </w:pPr>
      <w:r>
        <w:rPr>
          <w:b/>
          <w:bCs/>
          <w:sz w:val="26"/>
          <w:szCs w:val="26"/>
        </w:rPr>
        <w:tab/>
        <w:t>Στην οργάνωση αυτών των αγώνων θα συμβάλλει και η αύξηση των δυνάμεων της ΑΣΕ  στο Δ.Σ. της ΔΟΕ! Η ανάδειξη της ΑΣΕ ξανά πρώτης δύναμης και πιο δυνατής</w:t>
      </w:r>
      <w:r>
        <w:rPr>
          <w:sz w:val="26"/>
          <w:szCs w:val="26"/>
        </w:rPr>
        <w:t xml:space="preserve"> μπορεί να αποτρέψει τις επιδιώξεις των «3Δ» (ΔΑΚΕ, ΔΗΣΥ, ΔΙΚΤΥΟ) για “αγωνιστικό” σιωπητήριο. </w:t>
      </w:r>
      <w:r>
        <w:rPr>
          <w:b/>
          <w:bCs/>
          <w:sz w:val="26"/>
          <w:szCs w:val="26"/>
        </w:rPr>
        <w:t xml:space="preserve">Θα είναι η πιο ηχηρή απάντηση στον κυβερνητικό συνδικαλισμό και πρωτίστως στην κυβερνητική ΔΑΚΕ, που στηρίζεται από όλον τον κρατικο-διοικητικό μηχανισμό και στα ψηφοδέλτιά τους φιγουράρουν </w:t>
      </w:r>
      <w:r>
        <w:rPr>
          <w:sz w:val="26"/>
          <w:szCs w:val="26"/>
        </w:rPr>
        <w:t xml:space="preserve">στελέχη εκπαίδευσης που μοιράζουν πειθαρχικά σε συναδέλφους και υπηρετούν με υπερβάλλοντα ζήλο την αντιεκπαιδευτική πολιτική ΕΕ, ΟΟΣΑ, ΝΑΤΟ, κυβέρνησης, που φέρνει πολέμους, φτώχεια και προσφυγιά. </w:t>
      </w:r>
      <w:r>
        <w:rPr>
          <w:b/>
          <w:bCs/>
          <w:sz w:val="26"/>
          <w:szCs w:val="26"/>
        </w:rPr>
        <w:t>Είναι η καλύτερη απάντηση σε όσους καλλιεργούν τη μεμψιμοιρία και την απογοήτευση</w:t>
      </w:r>
      <w:r>
        <w:rPr>
          <w:sz w:val="26"/>
          <w:szCs w:val="26"/>
        </w:rPr>
        <w:t>, που από τη στιγμή που βγήκε η ΑΣΕ πρώτη δύναμη στη ΔΟΕ έκαναν σημαία τους το γνωστό «τι ΔΑΚΕ, τι ΑΣΕ», ρίχνοντας νερό στον μύλο της κυβερνητικής ΔΑΚΕ και καλλιεργώντας αντικειμενικά την απογοήτευση ότι με τους αγώνες και την αλλαγή συσχετισμών “δε βγαίνει τίποτα”, στρώνοντας έτσι το χαλί των αυταπατών για τον επόμενο “κυβερνητικό σωτήρα”.</w:t>
      </w:r>
    </w:p>
    <w:p>
      <w:pPr>
        <w:pStyle w:val="Normal"/>
        <w:spacing w:lineRule="auto" w:line="276" w:before="0" w:after="142"/>
        <w:jc w:val="both"/>
        <w:rPr>
          <w:sz w:val="26"/>
          <w:szCs w:val="26"/>
        </w:rPr>
      </w:pPr>
      <w:r>
        <w:rPr>
          <w:b/>
          <w:sz w:val="26"/>
          <w:szCs w:val="26"/>
        </w:rPr>
        <w:t xml:space="preserve">Συναδέλφισσες/οι, συνεχίζουμε μαχητικά, μαζικά και ενωτικά! Σπάμε την τρομοκρατία του Υπουργείου και της κυβέρνησης  με αγωνιστική συμπόρευση με τον Σύλλογό μας! Κανένας μόνος, καμία μόνη! Συμμετέχουμε μαζικά στις Γενικές μας Συνελεύσεις και  στις αγωνιστικές κινητοποιήσεις του Συλλόγου μας, του Κλάδου και όλου του εργατικού λαϊκού κινήματος! </w:t>
      </w:r>
    </w:p>
    <w:p>
      <w:pPr>
        <w:pStyle w:val="Normal"/>
        <w:spacing w:lineRule="auto" w:line="276" w:before="0" w:after="142"/>
        <w:jc w:val="center"/>
        <w:rPr>
          <w:sz w:val="26"/>
          <w:szCs w:val="26"/>
        </w:rPr>
      </w:pPr>
      <w:r>
        <w:rPr>
          <w:b/>
          <w:sz w:val="26"/>
          <w:szCs w:val="26"/>
        </w:rPr>
        <w:t>Το δίκιο είναι με το μέρος μας, η τελική νίκη δική μας!</w:t>
      </w:r>
    </w:p>
    <w:p>
      <w:pPr>
        <w:pStyle w:val="Normal"/>
        <w:spacing w:lineRule="auto" w:line="240" w:before="0" w:after="142"/>
        <w:jc w:val="center"/>
        <w:rPr>
          <w:b w:val="false"/>
          <w:bCs w:val="false"/>
          <w:i/>
          <w:i/>
          <w:iCs/>
          <w:sz w:val="26"/>
          <w:szCs w:val="26"/>
        </w:rPr>
      </w:pPr>
      <w:r>
        <w:rPr>
          <w:b w:val="false"/>
          <w:bCs w:val="false"/>
          <w:i/>
          <w:iCs/>
          <w:sz w:val="26"/>
          <w:szCs w:val="26"/>
        </w:rPr>
        <w:t>Παραθέτουμε τον πίνακα των αποτελεσμάτων από το ενημερωτικό του Συλλόγου μας, προσθέτοντας και τα ποσοστά, όπου φαίνονται τα αποτελέσματα για τη ΔΟΕ του 2024 και 2026 αλλά και τα ενδιάμεσα για το Δ.Σ. μας τον Νοέμβρη του 2025 που είναι πιο κοντινά στο σήμερα.</w:t>
      </w:r>
    </w:p>
    <w:tbl>
      <w:tblPr>
        <w:tblW w:w="10941" w:type="dxa"/>
        <w:jc w:val="start"/>
        <w:tblInd w:w="-120" w:type="dxa"/>
        <w:tblLayout w:type="fixed"/>
        <w:tblCellMar>
          <w:top w:w="0" w:type="dxa"/>
          <w:start w:w="108" w:type="dxa"/>
          <w:bottom w:w="0" w:type="dxa"/>
          <w:end w:w="108" w:type="dxa"/>
        </w:tblCellMar>
      </w:tblPr>
      <w:tblGrid>
        <w:gridCol w:w="2712"/>
        <w:gridCol w:w="2736"/>
        <w:gridCol w:w="2313"/>
        <w:gridCol w:w="3179"/>
      </w:tblGrid>
      <w:tr>
        <w:trPr>
          <w:trHeight w:val="459" w:hRule="atLeast"/>
        </w:trPr>
        <w:tc>
          <w:tcPr>
            <w:tcW w:w="2712" w:type="dxa"/>
            <w:tcBorders>
              <w:top w:val="single" w:sz="4" w:space="0" w:color="000000"/>
              <w:start w:val="single" w:sz="4" w:space="0" w:color="000000"/>
              <w:bottom w:val="single" w:sz="4" w:space="0" w:color="000000"/>
            </w:tcBorders>
            <w:vAlign w:val="center"/>
          </w:tcPr>
          <w:p>
            <w:pPr>
              <w:pStyle w:val="Normal"/>
              <w:keepNext w:val="true"/>
              <w:numPr>
                <w:ilvl w:val="0"/>
                <w:numId w:val="0"/>
              </w:numPr>
              <w:spacing w:lineRule="auto" w:line="240" w:before="0" w:after="0"/>
              <w:ind w:hanging="0" w:start="0"/>
              <w:jc w:val="center"/>
              <w:outlineLvl w:val="4"/>
              <w:rPr>
                <w:b/>
                <w:i/>
                <w:i/>
                <w:sz w:val="24"/>
                <w:szCs w:val="24"/>
              </w:rPr>
            </w:pPr>
            <w:r>
              <w:rPr>
                <w:b/>
                <w:i/>
                <w:sz w:val="24"/>
                <w:szCs w:val="24"/>
              </w:rPr>
              <w:t>ΕΚΛΟΓΕΣ</w:t>
            </w:r>
          </w:p>
        </w:tc>
        <w:tc>
          <w:tcPr>
            <w:tcW w:w="2736" w:type="dxa"/>
            <w:tcBorders>
              <w:top w:val="single" w:sz="4" w:space="0" w:color="000000"/>
              <w:start w:val="single" w:sz="4" w:space="0" w:color="000000"/>
              <w:bottom w:val="single" w:sz="4" w:space="0" w:color="000000"/>
            </w:tcBorders>
            <w:vAlign w:val="center"/>
          </w:tcPr>
          <w:p>
            <w:pPr>
              <w:pStyle w:val="Normal"/>
              <w:keepNext w:val="true"/>
              <w:numPr>
                <w:ilvl w:val="0"/>
                <w:numId w:val="0"/>
              </w:numPr>
              <w:spacing w:lineRule="auto" w:line="240" w:before="0" w:after="0"/>
              <w:ind w:hanging="0" w:start="0"/>
              <w:jc w:val="center"/>
              <w:outlineLvl w:val="4"/>
              <w:rPr/>
            </w:pPr>
            <w:r>
              <w:rPr>
                <w:b/>
                <w:i/>
                <w:color w:val="000000"/>
                <w:sz w:val="24"/>
                <w:szCs w:val="24"/>
              </w:rPr>
              <w:t>28 Μάη 2024</w:t>
            </w:r>
          </w:p>
          <w:p>
            <w:pPr>
              <w:pStyle w:val="Normal"/>
              <w:keepNext w:val="true"/>
              <w:numPr>
                <w:ilvl w:val="0"/>
                <w:numId w:val="0"/>
              </w:numPr>
              <w:spacing w:lineRule="auto" w:line="240" w:before="0" w:after="0"/>
              <w:ind w:hanging="0" w:start="0"/>
              <w:jc w:val="center"/>
              <w:outlineLvl w:val="4"/>
              <w:rPr/>
            </w:pPr>
            <w:r>
              <w:rPr>
                <w:b/>
                <w:i/>
                <w:color w:val="000000"/>
                <w:sz w:val="24"/>
                <w:szCs w:val="24"/>
              </w:rPr>
              <w:t>Για αντιπροσώπους ΔΟΕ</w:t>
            </w:r>
          </w:p>
        </w:tc>
        <w:tc>
          <w:tcPr>
            <w:tcW w:w="2313" w:type="dxa"/>
            <w:tcBorders>
              <w:top w:val="single" w:sz="4" w:space="0" w:color="000000"/>
              <w:start w:val="single" w:sz="4" w:space="0" w:color="000000"/>
              <w:bottom w:val="single" w:sz="4" w:space="0" w:color="000000"/>
            </w:tcBorders>
            <w:vAlign w:val="center"/>
          </w:tcPr>
          <w:p>
            <w:pPr>
              <w:pStyle w:val="Normal"/>
              <w:keepNext w:val="true"/>
              <w:numPr>
                <w:ilvl w:val="0"/>
                <w:numId w:val="0"/>
              </w:numPr>
              <w:spacing w:lineRule="auto" w:line="240" w:before="0" w:after="0"/>
              <w:ind w:hanging="0" w:start="0"/>
              <w:jc w:val="center"/>
              <w:outlineLvl w:val="4"/>
              <w:rPr>
                <w:color w:val="000000"/>
              </w:rPr>
            </w:pPr>
            <w:r>
              <w:rPr>
                <w:b/>
                <w:bCs/>
                <w:i/>
                <w:color w:val="000000"/>
                <w:sz w:val="24"/>
                <w:szCs w:val="24"/>
              </w:rPr>
              <w:t>26 Νοεμβρίου 2025</w:t>
            </w:r>
          </w:p>
          <w:p>
            <w:pPr>
              <w:pStyle w:val="Normal"/>
              <w:keepNext w:val="true"/>
              <w:numPr>
                <w:ilvl w:val="0"/>
                <w:numId w:val="0"/>
              </w:numPr>
              <w:spacing w:lineRule="auto" w:line="240" w:before="0" w:after="0"/>
              <w:ind w:hanging="0" w:start="0"/>
              <w:jc w:val="center"/>
              <w:outlineLvl w:val="4"/>
              <w:rPr>
                <w:color w:val="000000"/>
              </w:rPr>
            </w:pPr>
            <w:r>
              <w:rPr>
                <w:b/>
                <w:bCs/>
                <w:i/>
                <w:color w:val="000000"/>
                <w:sz w:val="24"/>
                <w:szCs w:val="24"/>
              </w:rPr>
              <w:t>Για Δ.Σ. και Ε.Ε.</w:t>
            </w:r>
          </w:p>
        </w:tc>
        <w:tc>
          <w:tcPr>
            <w:tcW w:w="3179" w:type="dxa"/>
            <w:tcBorders>
              <w:top w:val="single" w:sz="4" w:space="0" w:color="000000"/>
              <w:start w:val="single" w:sz="4" w:space="0" w:color="000000"/>
              <w:bottom w:val="single" w:sz="4" w:space="0" w:color="000000"/>
              <w:end w:val="single" w:sz="4" w:space="0" w:color="000000"/>
            </w:tcBorders>
            <w:vAlign w:val="center"/>
          </w:tcPr>
          <w:p>
            <w:pPr>
              <w:pStyle w:val="Normal"/>
              <w:keepNext w:val="true"/>
              <w:numPr>
                <w:ilvl w:val="0"/>
                <w:numId w:val="0"/>
              </w:numPr>
              <w:spacing w:lineRule="auto" w:line="240" w:before="0" w:after="0"/>
              <w:ind w:hanging="0" w:start="0"/>
              <w:jc w:val="center"/>
              <w:outlineLvl w:val="4"/>
              <w:rPr>
                <w:b/>
                <w:bCs/>
              </w:rPr>
            </w:pPr>
            <w:r>
              <w:rPr>
                <w:b/>
                <w:bCs/>
                <w:i/>
                <w:color w:val="C9211E"/>
                <w:sz w:val="24"/>
                <w:szCs w:val="24"/>
              </w:rPr>
              <w:t>27 Μαΐου 2026</w:t>
            </w:r>
          </w:p>
          <w:p>
            <w:pPr>
              <w:pStyle w:val="Normal"/>
              <w:numPr>
                <w:ilvl w:val="0"/>
                <w:numId w:val="0"/>
              </w:numPr>
              <w:spacing w:lineRule="auto" w:line="240" w:before="0" w:after="0"/>
              <w:ind w:hanging="0" w:start="0"/>
              <w:jc w:val="center"/>
              <w:outlineLvl w:val="4"/>
              <w:rPr>
                <w:b/>
                <w:bCs/>
              </w:rPr>
            </w:pPr>
            <w:r>
              <w:rPr>
                <w:b/>
                <w:bCs/>
                <w:i/>
                <w:color w:val="C9211E"/>
                <w:sz w:val="24"/>
                <w:szCs w:val="24"/>
              </w:rPr>
              <w:t>Για αντιπροσώπους ΔΟΕ</w:t>
            </w:r>
          </w:p>
        </w:tc>
      </w:tr>
      <w:tr>
        <w:trPr>
          <w:trHeight w:val="251" w:hRule="atLeast"/>
        </w:trPr>
        <w:tc>
          <w:tcPr>
            <w:tcW w:w="2712" w:type="dxa"/>
            <w:tcBorders>
              <w:start w:val="single" w:sz="4" w:space="0" w:color="000000"/>
              <w:bottom w:val="single" w:sz="4" w:space="0" w:color="000000"/>
            </w:tcBorders>
            <w:vAlign w:val="center"/>
          </w:tcPr>
          <w:p>
            <w:pPr>
              <w:pStyle w:val="Normal"/>
              <w:keepNext w:val="true"/>
              <w:numPr>
                <w:ilvl w:val="0"/>
                <w:numId w:val="0"/>
              </w:numPr>
              <w:spacing w:lineRule="auto" w:line="240" w:before="0" w:after="0"/>
              <w:ind w:hanging="0" w:start="0"/>
              <w:outlineLvl w:val="4"/>
              <w:rPr>
                <w:b/>
                <w:i/>
                <w:i/>
                <w:sz w:val="24"/>
                <w:szCs w:val="24"/>
              </w:rPr>
            </w:pPr>
            <w:r>
              <w:rPr>
                <w:b/>
                <w:i/>
                <w:sz w:val="24"/>
                <w:szCs w:val="24"/>
              </w:rPr>
              <w:t>ψήφισαν</w:t>
            </w:r>
          </w:p>
        </w:tc>
        <w:tc>
          <w:tcPr>
            <w:tcW w:w="2736" w:type="dxa"/>
            <w:tcBorders>
              <w:start w:val="single" w:sz="4" w:space="0" w:color="000000"/>
              <w:bottom w:val="single" w:sz="4" w:space="0" w:color="000000"/>
            </w:tcBorders>
            <w:vAlign w:val="center"/>
          </w:tcPr>
          <w:p>
            <w:pPr>
              <w:pStyle w:val="Normal"/>
              <w:keepNext w:val="true"/>
              <w:numPr>
                <w:ilvl w:val="0"/>
                <w:numId w:val="0"/>
              </w:numPr>
              <w:spacing w:lineRule="auto" w:line="240" w:before="0" w:after="0"/>
              <w:ind w:hanging="0" w:start="0"/>
              <w:jc w:val="center"/>
              <w:outlineLvl w:val="4"/>
              <w:rPr/>
            </w:pPr>
            <w:r>
              <w:rPr>
                <w:b/>
                <w:i/>
                <w:color w:val="000000"/>
                <w:sz w:val="24"/>
                <w:szCs w:val="24"/>
                <w:lang w:val="en-US"/>
              </w:rPr>
              <w:t>492</w:t>
            </w:r>
          </w:p>
        </w:tc>
        <w:tc>
          <w:tcPr>
            <w:tcW w:w="2313" w:type="dxa"/>
            <w:tcBorders>
              <w:start w:val="single" w:sz="4" w:space="0" w:color="000000"/>
              <w:bottom w:val="single" w:sz="4" w:space="0" w:color="000000"/>
            </w:tcBorders>
            <w:vAlign w:val="center"/>
          </w:tcPr>
          <w:p>
            <w:pPr>
              <w:pStyle w:val="Normal"/>
              <w:keepNext w:val="true"/>
              <w:numPr>
                <w:ilvl w:val="0"/>
                <w:numId w:val="0"/>
              </w:numPr>
              <w:spacing w:lineRule="auto" w:line="240" w:before="0" w:after="0"/>
              <w:ind w:hanging="0" w:start="0"/>
              <w:jc w:val="center"/>
              <w:outlineLvl w:val="4"/>
              <w:rPr>
                <w:color w:val="000000"/>
              </w:rPr>
            </w:pPr>
            <w:r>
              <w:rPr>
                <w:b/>
                <w:bCs/>
                <w:i/>
                <w:color w:val="000000"/>
                <w:sz w:val="24"/>
                <w:szCs w:val="24"/>
              </w:rPr>
              <w:t>454</w:t>
            </w:r>
          </w:p>
        </w:tc>
        <w:tc>
          <w:tcPr>
            <w:tcW w:w="3179" w:type="dxa"/>
            <w:tcBorders>
              <w:start w:val="single" w:sz="4" w:space="0" w:color="000000"/>
              <w:bottom w:val="single" w:sz="4" w:space="0" w:color="000000"/>
              <w:end w:val="single" w:sz="4" w:space="0" w:color="000000"/>
            </w:tcBorders>
            <w:vAlign w:val="center"/>
          </w:tcPr>
          <w:p>
            <w:pPr>
              <w:pStyle w:val="Normal"/>
              <w:keepNext w:val="true"/>
              <w:numPr>
                <w:ilvl w:val="0"/>
                <w:numId w:val="0"/>
              </w:numPr>
              <w:spacing w:lineRule="auto" w:line="240" w:before="0" w:after="0"/>
              <w:ind w:hanging="0" w:start="0"/>
              <w:jc w:val="center"/>
              <w:outlineLvl w:val="4"/>
              <w:rPr>
                <w:b/>
                <w:bCs/>
                <w:i/>
                <w:i/>
                <w:color w:val="C9211E"/>
                <w:sz w:val="28"/>
                <w:szCs w:val="28"/>
              </w:rPr>
            </w:pPr>
            <w:r>
              <w:rPr>
                <w:b/>
                <w:bCs/>
                <w:i/>
                <w:color w:val="C9211E"/>
                <w:sz w:val="28"/>
                <w:szCs w:val="28"/>
              </w:rPr>
              <w:t>480</w:t>
            </w:r>
          </w:p>
        </w:tc>
      </w:tr>
      <w:tr>
        <w:trPr>
          <w:trHeight w:val="251" w:hRule="atLeast"/>
        </w:trPr>
        <w:tc>
          <w:tcPr>
            <w:tcW w:w="2712" w:type="dxa"/>
            <w:tcBorders>
              <w:start w:val="single" w:sz="4" w:space="0" w:color="000000"/>
              <w:bottom w:val="single" w:sz="4" w:space="0" w:color="000000"/>
            </w:tcBorders>
            <w:vAlign w:val="center"/>
          </w:tcPr>
          <w:p>
            <w:pPr>
              <w:pStyle w:val="Normal"/>
              <w:keepNext w:val="true"/>
              <w:numPr>
                <w:ilvl w:val="0"/>
                <w:numId w:val="0"/>
              </w:numPr>
              <w:spacing w:lineRule="auto" w:line="240" w:before="0" w:after="0"/>
              <w:ind w:hanging="0" w:start="0"/>
              <w:outlineLvl w:val="4"/>
              <w:rPr>
                <w:b/>
                <w:sz w:val="24"/>
                <w:szCs w:val="24"/>
              </w:rPr>
            </w:pPr>
            <w:r>
              <w:rPr>
                <w:b/>
                <w:sz w:val="24"/>
                <w:szCs w:val="24"/>
              </w:rPr>
              <w:t>Άκυρα – Λευκά</w:t>
            </w:r>
          </w:p>
        </w:tc>
        <w:tc>
          <w:tcPr>
            <w:tcW w:w="2736" w:type="dxa"/>
            <w:tcBorders>
              <w:start w:val="single" w:sz="4" w:space="0" w:color="000000"/>
              <w:bottom w:val="single" w:sz="4" w:space="0" w:color="000000"/>
            </w:tcBorders>
            <w:vAlign w:val="center"/>
          </w:tcPr>
          <w:p>
            <w:pPr>
              <w:pStyle w:val="Normal"/>
              <w:keepNext w:val="true"/>
              <w:numPr>
                <w:ilvl w:val="0"/>
                <w:numId w:val="0"/>
              </w:numPr>
              <w:spacing w:lineRule="auto" w:line="240" w:before="0" w:after="0"/>
              <w:ind w:hanging="0" w:start="0"/>
              <w:jc w:val="center"/>
              <w:outlineLvl w:val="4"/>
              <w:rPr/>
            </w:pPr>
            <w:r>
              <w:rPr>
                <w:b/>
                <w:i/>
                <w:color w:val="000000"/>
                <w:sz w:val="24"/>
                <w:szCs w:val="24"/>
                <w:lang w:val="en-US"/>
              </w:rPr>
              <w:t>11</w:t>
            </w:r>
          </w:p>
        </w:tc>
        <w:tc>
          <w:tcPr>
            <w:tcW w:w="2313" w:type="dxa"/>
            <w:tcBorders>
              <w:start w:val="single" w:sz="4" w:space="0" w:color="000000"/>
              <w:bottom w:val="single" w:sz="4" w:space="0" w:color="000000"/>
            </w:tcBorders>
            <w:vAlign w:val="center"/>
          </w:tcPr>
          <w:p>
            <w:pPr>
              <w:pStyle w:val="Normal"/>
              <w:keepNext w:val="true"/>
              <w:numPr>
                <w:ilvl w:val="0"/>
                <w:numId w:val="0"/>
              </w:numPr>
              <w:spacing w:lineRule="auto" w:line="240" w:before="0" w:after="0"/>
              <w:ind w:hanging="0" w:start="0"/>
              <w:jc w:val="center"/>
              <w:outlineLvl w:val="4"/>
              <w:rPr>
                <w:color w:val="000000"/>
              </w:rPr>
            </w:pPr>
            <w:r>
              <w:rPr>
                <w:b/>
                <w:bCs/>
                <w:i/>
                <w:color w:val="000000"/>
                <w:sz w:val="24"/>
                <w:szCs w:val="24"/>
              </w:rPr>
              <w:t>17</w:t>
            </w:r>
          </w:p>
        </w:tc>
        <w:tc>
          <w:tcPr>
            <w:tcW w:w="3179" w:type="dxa"/>
            <w:tcBorders>
              <w:start w:val="single" w:sz="4" w:space="0" w:color="000000"/>
              <w:bottom w:val="single" w:sz="4" w:space="0" w:color="000000"/>
              <w:end w:val="single" w:sz="4" w:space="0" w:color="000000"/>
            </w:tcBorders>
            <w:vAlign w:val="center"/>
          </w:tcPr>
          <w:p>
            <w:pPr>
              <w:pStyle w:val="Normal"/>
              <w:keepNext w:val="true"/>
              <w:numPr>
                <w:ilvl w:val="0"/>
                <w:numId w:val="0"/>
              </w:numPr>
              <w:spacing w:lineRule="auto" w:line="240" w:before="0" w:after="0"/>
              <w:ind w:hanging="0" w:start="0"/>
              <w:jc w:val="center"/>
              <w:outlineLvl w:val="4"/>
              <w:rPr>
                <w:b/>
                <w:bCs/>
                <w:i/>
                <w:i/>
                <w:color w:val="C9211E"/>
                <w:sz w:val="28"/>
                <w:szCs w:val="28"/>
              </w:rPr>
            </w:pPr>
            <w:r>
              <w:rPr>
                <w:b/>
                <w:bCs/>
                <w:i/>
                <w:color w:val="C9211E"/>
                <w:sz w:val="28"/>
                <w:szCs w:val="28"/>
              </w:rPr>
              <w:t>7</w:t>
            </w:r>
          </w:p>
        </w:tc>
      </w:tr>
      <w:tr>
        <w:trPr>
          <w:trHeight w:val="260" w:hRule="atLeast"/>
        </w:trPr>
        <w:tc>
          <w:tcPr>
            <w:tcW w:w="2712" w:type="dxa"/>
            <w:tcBorders>
              <w:start w:val="single" w:sz="4" w:space="0" w:color="000000"/>
              <w:bottom w:val="single" w:sz="4" w:space="0" w:color="000000"/>
            </w:tcBorders>
            <w:vAlign w:val="center"/>
          </w:tcPr>
          <w:p>
            <w:pPr>
              <w:pStyle w:val="Normal"/>
              <w:keepNext w:val="true"/>
              <w:numPr>
                <w:ilvl w:val="0"/>
                <w:numId w:val="0"/>
              </w:numPr>
              <w:spacing w:lineRule="auto" w:line="240" w:before="0" w:after="0"/>
              <w:ind w:hanging="0" w:start="0"/>
              <w:outlineLvl w:val="4"/>
              <w:rPr>
                <w:b/>
                <w:sz w:val="24"/>
                <w:szCs w:val="24"/>
              </w:rPr>
            </w:pPr>
            <w:r>
              <w:rPr>
                <w:b/>
                <w:sz w:val="24"/>
                <w:szCs w:val="24"/>
              </w:rPr>
              <w:t>Έγκυρα</w:t>
            </w:r>
          </w:p>
        </w:tc>
        <w:tc>
          <w:tcPr>
            <w:tcW w:w="2736" w:type="dxa"/>
            <w:tcBorders>
              <w:start w:val="single" w:sz="4" w:space="0" w:color="000000"/>
              <w:bottom w:val="single" w:sz="4" w:space="0" w:color="000000"/>
            </w:tcBorders>
            <w:vAlign w:val="center"/>
          </w:tcPr>
          <w:p>
            <w:pPr>
              <w:pStyle w:val="Normal"/>
              <w:keepNext w:val="true"/>
              <w:numPr>
                <w:ilvl w:val="0"/>
                <w:numId w:val="0"/>
              </w:numPr>
              <w:spacing w:lineRule="auto" w:line="240" w:before="0" w:after="0"/>
              <w:ind w:hanging="0" w:start="0"/>
              <w:jc w:val="center"/>
              <w:outlineLvl w:val="4"/>
              <w:rPr/>
            </w:pPr>
            <w:r>
              <w:rPr>
                <w:b/>
                <w:i/>
                <w:color w:val="000000"/>
                <w:sz w:val="24"/>
                <w:szCs w:val="24"/>
                <w:lang w:val="en-US"/>
              </w:rPr>
              <w:t>481</w:t>
            </w:r>
          </w:p>
        </w:tc>
        <w:tc>
          <w:tcPr>
            <w:tcW w:w="2313" w:type="dxa"/>
            <w:tcBorders>
              <w:start w:val="single" w:sz="4" w:space="0" w:color="000000"/>
              <w:bottom w:val="single" w:sz="4" w:space="0" w:color="000000"/>
            </w:tcBorders>
            <w:vAlign w:val="center"/>
          </w:tcPr>
          <w:p>
            <w:pPr>
              <w:pStyle w:val="Normal"/>
              <w:keepNext w:val="true"/>
              <w:numPr>
                <w:ilvl w:val="0"/>
                <w:numId w:val="0"/>
              </w:numPr>
              <w:spacing w:lineRule="auto" w:line="240" w:before="0" w:after="0"/>
              <w:ind w:hanging="0" w:start="0"/>
              <w:jc w:val="center"/>
              <w:outlineLvl w:val="4"/>
              <w:rPr>
                <w:color w:val="000000"/>
              </w:rPr>
            </w:pPr>
            <w:r>
              <w:rPr>
                <w:b/>
                <w:bCs/>
                <w:i/>
                <w:color w:val="000000"/>
                <w:sz w:val="24"/>
                <w:szCs w:val="24"/>
              </w:rPr>
              <w:t>437</w:t>
            </w:r>
          </w:p>
        </w:tc>
        <w:tc>
          <w:tcPr>
            <w:tcW w:w="3179" w:type="dxa"/>
            <w:tcBorders>
              <w:start w:val="single" w:sz="4" w:space="0" w:color="000000"/>
              <w:bottom w:val="single" w:sz="4" w:space="0" w:color="000000"/>
              <w:end w:val="single" w:sz="4" w:space="0" w:color="000000"/>
            </w:tcBorders>
            <w:vAlign w:val="center"/>
          </w:tcPr>
          <w:p>
            <w:pPr>
              <w:pStyle w:val="Normal"/>
              <w:keepNext w:val="true"/>
              <w:numPr>
                <w:ilvl w:val="0"/>
                <w:numId w:val="0"/>
              </w:numPr>
              <w:spacing w:lineRule="auto" w:line="240" w:before="0" w:after="0"/>
              <w:ind w:hanging="0" w:start="0"/>
              <w:jc w:val="center"/>
              <w:outlineLvl w:val="4"/>
              <w:rPr>
                <w:b/>
                <w:bCs/>
                <w:i/>
                <w:i/>
                <w:color w:val="C9211E"/>
                <w:sz w:val="28"/>
                <w:szCs w:val="28"/>
              </w:rPr>
            </w:pPr>
            <w:r>
              <w:rPr>
                <w:b/>
                <w:bCs/>
                <w:i/>
                <w:color w:val="C9211E"/>
                <w:sz w:val="28"/>
                <w:szCs w:val="28"/>
              </w:rPr>
              <w:t>473</w:t>
            </w:r>
          </w:p>
        </w:tc>
      </w:tr>
      <w:tr>
        <w:trPr>
          <w:trHeight w:val="512" w:hRule="atLeast"/>
        </w:trPr>
        <w:tc>
          <w:tcPr>
            <w:tcW w:w="2712" w:type="dxa"/>
            <w:tcBorders>
              <w:start w:val="single" w:sz="4" w:space="0" w:color="000000"/>
              <w:bottom w:val="single" w:sz="4" w:space="0" w:color="000000"/>
            </w:tcBorders>
            <w:vAlign w:val="center"/>
          </w:tcPr>
          <w:p>
            <w:pPr>
              <w:pStyle w:val="Normal"/>
              <w:keepNext w:val="true"/>
              <w:numPr>
                <w:ilvl w:val="0"/>
                <w:numId w:val="0"/>
              </w:numPr>
              <w:spacing w:lineRule="auto" w:line="240" w:before="0" w:after="0"/>
              <w:ind w:hanging="0" w:start="0"/>
              <w:outlineLvl w:val="4"/>
              <w:rPr>
                <w:b/>
                <w:sz w:val="24"/>
                <w:szCs w:val="24"/>
              </w:rPr>
            </w:pPr>
            <w:r>
              <w:rPr>
                <w:b/>
                <w:sz w:val="24"/>
                <w:szCs w:val="24"/>
              </w:rPr>
              <w:t>Αγωνιστική Συσπείρωση Εκπαιδευτικών (Α.Σ.Ε.)</w:t>
            </w:r>
          </w:p>
        </w:tc>
        <w:tc>
          <w:tcPr>
            <w:tcW w:w="2736" w:type="dxa"/>
            <w:tcBorders>
              <w:start w:val="single" w:sz="4" w:space="0" w:color="000000"/>
              <w:bottom w:val="single" w:sz="4" w:space="0" w:color="000000"/>
            </w:tcBorders>
            <w:vAlign w:val="center"/>
          </w:tcPr>
          <w:p>
            <w:pPr>
              <w:pStyle w:val="Normal"/>
              <w:keepNext w:val="true"/>
              <w:numPr>
                <w:ilvl w:val="0"/>
                <w:numId w:val="0"/>
              </w:numPr>
              <w:spacing w:lineRule="auto" w:line="240" w:before="0" w:after="0"/>
              <w:ind w:hanging="0" w:start="0"/>
              <w:outlineLvl w:val="4"/>
              <w:rPr/>
            </w:pPr>
            <w:r>
              <w:rPr>
                <w:b/>
                <w:i/>
                <w:color w:val="000000"/>
                <w:sz w:val="24"/>
                <w:szCs w:val="24"/>
                <w:lang w:val="en-US"/>
              </w:rPr>
              <w:t xml:space="preserve">381 </w:t>
            </w:r>
            <w:r>
              <w:rPr>
                <w:b/>
                <w:i/>
                <w:color w:val="000000"/>
                <w:sz w:val="18"/>
                <w:szCs w:val="18"/>
              </w:rPr>
              <w:t>ψήφους</w:t>
            </w:r>
            <w:r>
              <w:rPr>
                <w:b/>
                <w:i/>
                <w:color w:val="000000"/>
                <w:sz w:val="24"/>
                <w:szCs w:val="24"/>
              </w:rPr>
              <w:t xml:space="preserve"> 4 </w:t>
            </w:r>
            <w:r>
              <w:rPr>
                <w:b/>
                <w:i/>
                <w:color w:val="000000"/>
                <w:sz w:val="18"/>
                <w:szCs w:val="18"/>
              </w:rPr>
              <w:t>αντιπροσώπους</w:t>
            </w:r>
          </w:p>
          <w:p>
            <w:pPr>
              <w:pStyle w:val="Normal"/>
              <w:numPr>
                <w:ilvl w:val="0"/>
                <w:numId w:val="0"/>
              </w:numPr>
              <w:spacing w:lineRule="auto" w:line="240" w:before="0" w:after="0"/>
              <w:ind w:hanging="0" w:start="0"/>
              <w:jc w:val="center"/>
              <w:outlineLvl w:val="4"/>
              <w:rPr/>
            </w:pPr>
            <w:r>
              <w:rPr>
                <w:b/>
                <w:i/>
                <w:color w:val="000000"/>
                <w:sz w:val="18"/>
                <w:szCs w:val="18"/>
              </w:rPr>
              <w:t>79,2 %</w:t>
            </w:r>
          </w:p>
        </w:tc>
        <w:tc>
          <w:tcPr>
            <w:tcW w:w="2313" w:type="dxa"/>
            <w:tcBorders>
              <w:start w:val="single" w:sz="4" w:space="0" w:color="000000"/>
              <w:bottom w:val="single" w:sz="4" w:space="0" w:color="000000"/>
            </w:tcBorders>
            <w:vAlign w:val="center"/>
          </w:tcPr>
          <w:p>
            <w:pPr>
              <w:pStyle w:val="Normal"/>
              <w:keepNext w:val="true"/>
              <w:numPr>
                <w:ilvl w:val="0"/>
                <w:numId w:val="0"/>
              </w:numPr>
              <w:spacing w:lineRule="auto" w:line="240" w:before="0" w:after="0"/>
              <w:ind w:hanging="0" w:start="0"/>
              <w:outlineLvl w:val="4"/>
              <w:rPr>
                <w:color w:val="000000"/>
              </w:rPr>
            </w:pPr>
            <w:r>
              <w:rPr>
                <w:b/>
                <w:bCs/>
                <w:i/>
                <w:color w:val="000000"/>
                <w:sz w:val="24"/>
                <w:szCs w:val="24"/>
              </w:rPr>
              <w:t xml:space="preserve">303 </w:t>
            </w:r>
            <w:r>
              <w:rPr>
                <w:b/>
                <w:bCs/>
                <w:i/>
                <w:color w:val="000000"/>
                <w:sz w:val="20"/>
                <w:szCs w:val="20"/>
              </w:rPr>
              <w:t>ψήφους και</w:t>
            </w:r>
            <w:r>
              <w:rPr>
                <w:b/>
                <w:bCs/>
                <w:i/>
                <w:color w:val="000000"/>
                <w:sz w:val="24"/>
                <w:szCs w:val="24"/>
              </w:rPr>
              <w:t xml:space="preserve"> 6 </w:t>
            </w:r>
            <w:r>
              <w:rPr>
                <w:b/>
                <w:bCs/>
                <w:i/>
                <w:color w:val="000000"/>
                <w:sz w:val="20"/>
                <w:szCs w:val="20"/>
              </w:rPr>
              <w:t>έδρες</w:t>
            </w:r>
          </w:p>
          <w:p>
            <w:pPr>
              <w:pStyle w:val="Normal"/>
              <w:keepNext w:val="true"/>
              <w:numPr>
                <w:ilvl w:val="0"/>
                <w:numId w:val="0"/>
              </w:numPr>
              <w:spacing w:lineRule="auto" w:line="240" w:before="0" w:after="0"/>
              <w:ind w:hanging="0" w:start="0"/>
              <w:jc w:val="center"/>
              <w:outlineLvl w:val="4"/>
              <w:rPr>
                <w:color w:val="000000"/>
              </w:rPr>
            </w:pPr>
            <w:r>
              <w:rPr>
                <w:b/>
                <w:bCs/>
                <w:i/>
                <w:color w:val="000000"/>
                <w:sz w:val="24"/>
                <w:szCs w:val="24"/>
              </w:rPr>
              <w:t>69,3 %</w:t>
            </w:r>
          </w:p>
        </w:tc>
        <w:tc>
          <w:tcPr>
            <w:tcW w:w="3179" w:type="dxa"/>
            <w:tcBorders>
              <w:start w:val="single" w:sz="4" w:space="0" w:color="000000"/>
              <w:bottom w:val="single" w:sz="4" w:space="0" w:color="000000"/>
              <w:end w:val="single" w:sz="4" w:space="0" w:color="000000"/>
            </w:tcBorders>
            <w:vAlign w:val="center"/>
          </w:tcPr>
          <w:p>
            <w:pPr>
              <w:pStyle w:val="Normal"/>
              <w:keepNext w:val="true"/>
              <w:numPr>
                <w:ilvl w:val="0"/>
                <w:numId w:val="0"/>
              </w:numPr>
              <w:spacing w:lineRule="auto" w:line="240" w:before="0" w:after="0"/>
              <w:ind w:hanging="0" w:start="0"/>
              <w:outlineLvl w:val="4"/>
              <w:rPr>
                <w:b/>
                <w:bCs/>
                <w:color w:val="C9211E"/>
              </w:rPr>
            </w:pPr>
            <w:r>
              <w:rPr>
                <w:b/>
                <w:bCs/>
                <w:color w:val="C9211E"/>
                <w:sz w:val="28"/>
                <w:szCs w:val="28"/>
              </w:rPr>
              <w:t>339</w:t>
            </w:r>
            <w:r>
              <w:rPr>
                <w:b/>
                <w:bCs/>
                <w:color w:val="C9211E"/>
              </w:rPr>
              <w:t xml:space="preserve"> </w:t>
            </w:r>
            <w:r>
              <w:rPr>
                <w:b/>
                <w:bCs/>
                <w:color w:val="C9211E"/>
                <w:sz w:val="18"/>
                <w:szCs w:val="18"/>
              </w:rPr>
              <w:t>ψήφους και</w:t>
            </w:r>
            <w:r>
              <w:rPr>
                <w:b/>
                <w:bCs/>
                <w:color w:val="C9211E"/>
              </w:rPr>
              <w:t xml:space="preserve"> </w:t>
            </w:r>
            <w:r>
              <w:rPr>
                <w:b/>
                <w:bCs/>
                <w:color w:val="C9211E"/>
                <w:sz w:val="28"/>
                <w:szCs w:val="28"/>
              </w:rPr>
              <w:t>4</w:t>
            </w:r>
            <w:r>
              <w:rPr>
                <w:b/>
                <w:bCs/>
                <w:color w:val="C9211E"/>
                <w:sz w:val="26"/>
                <w:szCs w:val="26"/>
              </w:rPr>
              <w:t xml:space="preserve"> </w:t>
            </w:r>
            <w:r>
              <w:rPr>
                <w:b/>
                <w:bCs/>
                <w:color w:val="C9211E"/>
                <w:sz w:val="18"/>
                <w:szCs w:val="18"/>
              </w:rPr>
              <w:t>αντιπροσώπους</w:t>
            </w:r>
          </w:p>
          <w:p>
            <w:pPr>
              <w:pStyle w:val="Normal"/>
              <w:numPr>
                <w:ilvl w:val="0"/>
                <w:numId w:val="0"/>
              </w:numPr>
              <w:spacing w:lineRule="auto" w:line="240" w:before="0" w:after="0"/>
              <w:ind w:hanging="0" w:start="0"/>
              <w:jc w:val="center"/>
              <w:outlineLvl w:val="4"/>
              <w:rPr>
                <w:sz w:val="28"/>
                <w:szCs w:val="28"/>
              </w:rPr>
            </w:pPr>
            <w:r>
              <w:rPr>
                <w:b/>
                <w:bCs/>
                <w:color w:val="C9211E"/>
                <w:sz w:val="28"/>
                <w:szCs w:val="28"/>
              </w:rPr>
              <w:t>71,7 %</w:t>
            </w:r>
          </w:p>
        </w:tc>
      </w:tr>
      <w:tr>
        <w:trPr>
          <w:trHeight w:val="491" w:hRule="atLeast"/>
        </w:trPr>
        <w:tc>
          <w:tcPr>
            <w:tcW w:w="2712" w:type="dxa"/>
            <w:tcBorders>
              <w:start w:val="single" w:sz="4" w:space="0" w:color="000000"/>
              <w:bottom w:val="single" w:sz="4" w:space="0" w:color="000000"/>
            </w:tcBorders>
            <w:vAlign w:val="center"/>
          </w:tcPr>
          <w:p>
            <w:pPr>
              <w:pStyle w:val="Normal"/>
              <w:keepNext w:val="true"/>
              <w:numPr>
                <w:ilvl w:val="0"/>
                <w:numId w:val="0"/>
              </w:numPr>
              <w:spacing w:lineRule="auto" w:line="240" w:before="0" w:after="0"/>
              <w:ind w:hanging="0" w:start="0"/>
              <w:outlineLvl w:val="4"/>
              <w:rPr>
                <w:b/>
                <w:sz w:val="24"/>
                <w:szCs w:val="24"/>
              </w:rPr>
            </w:pPr>
            <w:r>
              <w:rPr>
                <w:b/>
                <w:sz w:val="24"/>
                <w:szCs w:val="24"/>
              </w:rPr>
              <w:t>ΑΝ. ΡΙΖ. ΠΑΡΕΜΒΑΣΗ</w:t>
            </w:r>
          </w:p>
          <w:p>
            <w:pPr>
              <w:pStyle w:val="Normal"/>
              <w:keepNext w:val="true"/>
              <w:numPr>
                <w:ilvl w:val="0"/>
                <w:numId w:val="0"/>
              </w:numPr>
              <w:spacing w:lineRule="auto" w:line="240" w:before="0" w:after="0"/>
              <w:ind w:hanging="0" w:start="0"/>
              <w:outlineLvl w:val="4"/>
              <w:rPr>
                <w:b/>
                <w:sz w:val="24"/>
                <w:szCs w:val="24"/>
              </w:rPr>
            </w:pPr>
            <w:r>
              <w:rPr>
                <w:b/>
                <w:sz w:val="24"/>
                <w:szCs w:val="24"/>
              </w:rPr>
              <w:t>ΠΑΡΕΜΒ. ΚΙΝΗΣ. ΣΥΣΠ.</w:t>
            </w:r>
          </w:p>
        </w:tc>
        <w:tc>
          <w:tcPr>
            <w:tcW w:w="2736" w:type="dxa"/>
            <w:tcBorders>
              <w:start w:val="single" w:sz="4" w:space="0" w:color="000000"/>
              <w:bottom w:val="single" w:sz="4" w:space="0" w:color="000000"/>
            </w:tcBorders>
            <w:vAlign w:val="center"/>
          </w:tcPr>
          <w:p>
            <w:pPr>
              <w:pStyle w:val="Normal"/>
              <w:keepNext w:val="true"/>
              <w:numPr>
                <w:ilvl w:val="0"/>
                <w:numId w:val="0"/>
              </w:numPr>
              <w:spacing w:lineRule="auto" w:line="240" w:before="0" w:after="0"/>
              <w:ind w:hanging="0" w:start="0"/>
              <w:outlineLvl w:val="4"/>
              <w:rPr/>
            </w:pPr>
            <w:r>
              <w:rPr>
                <w:b/>
                <w:i/>
                <w:color w:val="000000"/>
                <w:sz w:val="24"/>
                <w:szCs w:val="24"/>
              </w:rPr>
              <w:t xml:space="preserve">50 </w:t>
            </w:r>
            <w:r>
              <w:rPr>
                <w:b/>
                <w:i/>
                <w:color w:val="000000"/>
                <w:sz w:val="18"/>
                <w:szCs w:val="18"/>
              </w:rPr>
              <w:t>ψήφους</w:t>
            </w:r>
            <w:r>
              <w:rPr>
                <w:b/>
                <w:i/>
                <w:color w:val="000000"/>
                <w:sz w:val="24"/>
                <w:szCs w:val="24"/>
              </w:rPr>
              <w:t xml:space="preserve"> 1 </w:t>
            </w:r>
            <w:r>
              <w:rPr>
                <w:b/>
                <w:i/>
                <w:color w:val="000000"/>
                <w:sz w:val="18"/>
                <w:szCs w:val="18"/>
              </w:rPr>
              <w:t>αντιπρόσωπο</w:t>
            </w:r>
          </w:p>
          <w:p>
            <w:pPr>
              <w:pStyle w:val="Normal"/>
              <w:numPr>
                <w:ilvl w:val="0"/>
                <w:numId w:val="0"/>
              </w:numPr>
              <w:spacing w:lineRule="auto" w:line="240" w:before="0" w:after="0"/>
              <w:ind w:hanging="0" w:start="0"/>
              <w:jc w:val="center"/>
              <w:outlineLvl w:val="4"/>
              <w:rPr/>
            </w:pPr>
            <w:r>
              <w:rPr>
                <w:b/>
                <w:i/>
                <w:color w:val="000000"/>
                <w:sz w:val="18"/>
                <w:szCs w:val="18"/>
              </w:rPr>
              <w:t>10,4 %</w:t>
            </w:r>
          </w:p>
        </w:tc>
        <w:tc>
          <w:tcPr>
            <w:tcW w:w="2313" w:type="dxa"/>
            <w:tcBorders>
              <w:start w:val="single" w:sz="4" w:space="0" w:color="000000"/>
              <w:bottom w:val="single" w:sz="4" w:space="0" w:color="000000"/>
            </w:tcBorders>
            <w:vAlign w:val="center"/>
          </w:tcPr>
          <w:p>
            <w:pPr>
              <w:pStyle w:val="Normal"/>
              <w:keepNext w:val="true"/>
              <w:numPr>
                <w:ilvl w:val="0"/>
                <w:numId w:val="0"/>
              </w:numPr>
              <w:spacing w:lineRule="auto" w:line="240" w:before="0" w:after="0"/>
              <w:ind w:hanging="0" w:start="0"/>
              <w:outlineLvl w:val="4"/>
              <w:rPr>
                <w:color w:val="000000"/>
              </w:rPr>
            </w:pPr>
            <w:r>
              <w:rPr>
                <w:b/>
                <w:bCs/>
                <w:i/>
                <w:color w:val="000000"/>
                <w:sz w:val="24"/>
                <w:szCs w:val="24"/>
              </w:rPr>
              <w:t xml:space="preserve">80 </w:t>
            </w:r>
            <w:r>
              <w:rPr>
                <w:b/>
                <w:bCs/>
                <w:i/>
                <w:color w:val="000000"/>
                <w:sz w:val="20"/>
                <w:szCs w:val="20"/>
              </w:rPr>
              <w:t>ψήφους και</w:t>
            </w:r>
            <w:r>
              <w:rPr>
                <w:b/>
                <w:bCs/>
                <w:i/>
                <w:color w:val="000000"/>
                <w:sz w:val="24"/>
                <w:szCs w:val="24"/>
              </w:rPr>
              <w:t xml:space="preserve"> 2 </w:t>
            </w:r>
            <w:r>
              <w:rPr>
                <w:b/>
                <w:bCs/>
                <w:i/>
                <w:color w:val="000000"/>
                <w:sz w:val="20"/>
                <w:szCs w:val="20"/>
              </w:rPr>
              <w:t>έδρες</w:t>
            </w:r>
          </w:p>
          <w:p>
            <w:pPr>
              <w:pStyle w:val="Normal"/>
              <w:keepNext w:val="true"/>
              <w:numPr>
                <w:ilvl w:val="0"/>
                <w:numId w:val="0"/>
              </w:numPr>
              <w:spacing w:lineRule="auto" w:line="240" w:before="0" w:after="0"/>
              <w:ind w:hanging="0" w:start="0"/>
              <w:jc w:val="center"/>
              <w:outlineLvl w:val="4"/>
              <w:rPr>
                <w:color w:val="000000"/>
              </w:rPr>
            </w:pPr>
            <w:r>
              <w:rPr>
                <w:b/>
                <w:bCs/>
                <w:i/>
                <w:color w:val="000000"/>
                <w:sz w:val="24"/>
                <w:szCs w:val="24"/>
              </w:rPr>
              <w:t>18,3 %</w:t>
            </w:r>
          </w:p>
        </w:tc>
        <w:tc>
          <w:tcPr>
            <w:tcW w:w="3179" w:type="dxa"/>
            <w:tcBorders>
              <w:start w:val="single" w:sz="4" w:space="0" w:color="000000"/>
              <w:bottom w:val="single" w:sz="4" w:space="0" w:color="000000"/>
              <w:end w:val="single" w:sz="4" w:space="0" w:color="000000"/>
            </w:tcBorders>
            <w:vAlign w:val="center"/>
          </w:tcPr>
          <w:p>
            <w:pPr>
              <w:pStyle w:val="Normal"/>
              <w:keepNext w:val="true"/>
              <w:numPr>
                <w:ilvl w:val="0"/>
                <w:numId w:val="0"/>
              </w:numPr>
              <w:spacing w:lineRule="auto" w:line="240" w:before="0" w:after="0"/>
              <w:ind w:hanging="0" w:start="0"/>
              <w:outlineLvl w:val="4"/>
              <w:rPr>
                <w:b/>
                <w:bCs/>
                <w:color w:val="C9211E"/>
              </w:rPr>
            </w:pPr>
            <w:r>
              <w:rPr>
                <w:b/>
                <w:bCs/>
                <w:color w:val="C9211E"/>
                <w:sz w:val="28"/>
                <w:szCs w:val="28"/>
              </w:rPr>
              <w:t>63</w:t>
            </w:r>
            <w:r>
              <w:rPr>
                <w:b/>
                <w:bCs/>
                <w:color w:val="C9211E"/>
              </w:rPr>
              <w:t xml:space="preserve"> </w:t>
            </w:r>
            <w:r>
              <w:rPr>
                <w:b/>
                <w:bCs/>
                <w:color w:val="C9211E"/>
                <w:sz w:val="18"/>
                <w:szCs w:val="18"/>
              </w:rPr>
              <w:t>ψήφους και</w:t>
            </w:r>
            <w:r>
              <w:rPr>
                <w:b/>
                <w:bCs/>
                <w:color w:val="C9211E"/>
              </w:rPr>
              <w:t xml:space="preserve">  </w:t>
            </w:r>
            <w:r>
              <w:rPr>
                <w:b/>
                <w:bCs/>
                <w:color w:val="C9211E"/>
                <w:sz w:val="28"/>
                <w:szCs w:val="28"/>
              </w:rPr>
              <w:t>-</w:t>
            </w:r>
            <w:r>
              <w:rPr>
                <w:b/>
                <w:bCs/>
                <w:color w:val="C9211E"/>
                <w:sz w:val="26"/>
                <w:szCs w:val="26"/>
              </w:rPr>
              <w:t xml:space="preserve">  </w:t>
            </w:r>
            <w:r>
              <w:rPr>
                <w:b/>
                <w:bCs/>
                <w:color w:val="C9211E"/>
                <w:sz w:val="18"/>
                <w:szCs w:val="18"/>
              </w:rPr>
              <w:t>αντιπρόσωπο</w:t>
            </w:r>
          </w:p>
          <w:p>
            <w:pPr>
              <w:pStyle w:val="Normal"/>
              <w:numPr>
                <w:ilvl w:val="0"/>
                <w:numId w:val="0"/>
              </w:numPr>
              <w:spacing w:lineRule="auto" w:line="240" w:before="0" w:after="0"/>
              <w:ind w:hanging="0" w:start="0"/>
              <w:jc w:val="center"/>
              <w:outlineLvl w:val="4"/>
              <w:rPr>
                <w:sz w:val="28"/>
                <w:szCs w:val="28"/>
              </w:rPr>
            </w:pPr>
            <w:r>
              <w:rPr>
                <w:b/>
                <w:bCs/>
                <w:color w:val="C9211E"/>
                <w:sz w:val="28"/>
                <w:szCs w:val="28"/>
              </w:rPr>
              <w:t>13,3 %</w:t>
            </w:r>
          </w:p>
        </w:tc>
      </w:tr>
      <w:tr>
        <w:trPr>
          <w:trHeight w:val="525" w:hRule="atLeast"/>
        </w:trPr>
        <w:tc>
          <w:tcPr>
            <w:tcW w:w="2712" w:type="dxa"/>
            <w:tcBorders>
              <w:start w:val="single" w:sz="4" w:space="0" w:color="000000"/>
              <w:bottom w:val="single" w:sz="4" w:space="0" w:color="000000"/>
            </w:tcBorders>
            <w:vAlign w:val="center"/>
          </w:tcPr>
          <w:p>
            <w:pPr>
              <w:pStyle w:val="Normal"/>
              <w:keepNext w:val="true"/>
              <w:numPr>
                <w:ilvl w:val="0"/>
                <w:numId w:val="0"/>
              </w:numPr>
              <w:spacing w:lineRule="auto" w:line="240" w:before="0" w:after="0"/>
              <w:ind w:hanging="0" w:start="0"/>
              <w:outlineLvl w:val="4"/>
              <w:rPr>
                <w:b/>
                <w:sz w:val="24"/>
                <w:szCs w:val="24"/>
              </w:rPr>
            </w:pPr>
            <w:r>
              <w:rPr>
                <w:b/>
                <w:sz w:val="24"/>
                <w:szCs w:val="24"/>
              </w:rPr>
              <w:t>Δ.Α.Κ.Ε. / Π.Ε.</w:t>
            </w:r>
          </w:p>
        </w:tc>
        <w:tc>
          <w:tcPr>
            <w:tcW w:w="2736" w:type="dxa"/>
            <w:tcBorders>
              <w:start w:val="single" w:sz="4" w:space="0" w:color="000000"/>
              <w:bottom w:val="single" w:sz="4" w:space="0" w:color="000000"/>
            </w:tcBorders>
            <w:vAlign w:val="center"/>
          </w:tcPr>
          <w:p>
            <w:pPr>
              <w:pStyle w:val="Normal"/>
              <w:keepNext w:val="true"/>
              <w:numPr>
                <w:ilvl w:val="0"/>
                <w:numId w:val="0"/>
              </w:numPr>
              <w:spacing w:lineRule="auto" w:line="240" w:before="0" w:after="0"/>
              <w:ind w:hanging="0" w:start="0"/>
              <w:jc w:val="center"/>
              <w:outlineLvl w:val="4"/>
              <w:rPr/>
            </w:pPr>
            <w:r>
              <w:rPr>
                <w:b/>
                <w:i/>
                <w:color w:val="000000"/>
                <w:sz w:val="24"/>
                <w:szCs w:val="24"/>
              </w:rPr>
              <w:t xml:space="preserve">50 </w:t>
            </w:r>
            <w:r>
              <w:rPr>
                <w:b/>
                <w:i/>
                <w:color w:val="000000"/>
                <w:sz w:val="18"/>
                <w:szCs w:val="18"/>
              </w:rPr>
              <w:t>ψήφους</w:t>
            </w:r>
            <w:r>
              <w:rPr>
                <w:b/>
                <w:i/>
                <w:color w:val="000000"/>
                <w:sz w:val="24"/>
                <w:szCs w:val="24"/>
              </w:rPr>
              <w:t xml:space="preserve"> – </w:t>
            </w:r>
            <w:r>
              <w:rPr>
                <w:b/>
                <w:i/>
                <w:color w:val="000000"/>
                <w:sz w:val="18"/>
                <w:szCs w:val="18"/>
              </w:rPr>
              <w:t>αντιπρόσωπο</w:t>
            </w:r>
          </w:p>
          <w:p>
            <w:pPr>
              <w:pStyle w:val="Normal"/>
              <w:numPr>
                <w:ilvl w:val="0"/>
                <w:numId w:val="0"/>
              </w:numPr>
              <w:spacing w:lineRule="auto" w:line="240" w:before="0" w:after="0"/>
              <w:ind w:hanging="0" w:start="0"/>
              <w:jc w:val="center"/>
              <w:outlineLvl w:val="4"/>
              <w:rPr/>
            </w:pPr>
            <w:r>
              <w:rPr>
                <w:b/>
                <w:i/>
                <w:color w:val="000000"/>
                <w:sz w:val="18"/>
                <w:szCs w:val="18"/>
              </w:rPr>
              <w:t>10,4 %</w:t>
            </w:r>
          </w:p>
        </w:tc>
        <w:tc>
          <w:tcPr>
            <w:tcW w:w="2313" w:type="dxa"/>
            <w:tcBorders>
              <w:start w:val="single" w:sz="4" w:space="0" w:color="000000"/>
              <w:bottom w:val="single" w:sz="4" w:space="0" w:color="000000"/>
            </w:tcBorders>
            <w:vAlign w:val="center"/>
          </w:tcPr>
          <w:p>
            <w:pPr>
              <w:pStyle w:val="Normal"/>
              <w:keepNext w:val="true"/>
              <w:numPr>
                <w:ilvl w:val="0"/>
                <w:numId w:val="0"/>
              </w:numPr>
              <w:spacing w:lineRule="auto" w:line="240" w:before="0" w:after="0"/>
              <w:ind w:hanging="0" w:start="0"/>
              <w:outlineLvl w:val="4"/>
              <w:rPr>
                <w:color w:val="000000"/>
              </w:rPr>
            </w:pPr>
            <w:r>
              <w:rPr>
                <w:b/>
                <w:bCs/>
                <w:i/>
                <w:color w:val="000000"/>
                <w:sz w:val="24"/>
                <w:szCs w:val="24"/>
              </w:rPr>
              <w:t xml:space="preserve">54 </w:t>
            </w:r>
            <w:r>
              <w:rPr>
                <w:b/>
                <w:bCs/>
                <w:i/>
                <w:color w:val="000000"/>
                <w:sz w:val="20"/>
                <w:szCs w:val="20"/>
              </w:rPr>
              <w:t xml:space="preserve">ψήφους και </w:t>
            </w:r>
            <w:r>
              <w:rPr>
                <w:b/>
                <w:bCs/>
                <w:i/>
                <w:color w:val="000000"/>
                <w:sz w:val="24"/>
                <w:szCs w:val="24"/>
              </w:rPr>
              <w:t xml:space="preserve">1 </w:t>
            </w:r>
            <w:r>
              <w:rPr>
                <w:b/>
                <w:bCs/>
                <w:i/>
                <w:color w:val="000000"/>
                <w:sz w:val="20"/>
                <w:szCs w:val="20"/>
              </w:rPr>
              <w:t>έδρα</w:t>
            </w:r>
          </w:p>
          <w:p>
            <w:pPr>
              <w:pStyle w:val="Normal"/>
              <w:keepNext w:val="true"/>
              <w:numPr>
                <w:ilvl w:val="0"/>
                <w:numId w:val="0"/>
              </w:numPr>
              <w:spacing w:lineRule="auto" w:line="240" w:before="0" w:after="0"/>
              <w:ind w:hanging="0" w:start="0"/>
              <w:jc w:val="center"/>
              <w:outlineLvl w:val="4"/>
              <w:rPr>
                <w:color w:val="000000"/>
              </w:rPr>
            </w:pPr>
            <w:r>
              <w:rPr>
                <w:b/>
                <w:bCs/>
                <w:i/>
                <w:color w:val="000000"/>
                <w:sz w:val="24"/>
                <w:szCs w:val="24"/>
              </w:rPr>
              <w:t>12,4 %</w:t>
            </w:r>
          </w:p>
        </w:tc>
        <w:tc>
          <w:tcPr>
            <w:tcW w:w="3179" w:type="dxa"/>
            <w:tcBorders>
              <w:start w:val="single" w:sz="4" w:space="0" w:color="000000"/>
              <w:bottom w:val="single" w:sz="4" w:space="0" w:color="000000"/>
              <w:end w:val="single" w:sz="4" w:space="0" w:color="000000"/>
            </w:tcBorders>
            <w:vAlign w:val="center"/>
          </w:tcPr>
          <w:p>
            <w:pPr>
              <w:pStyle w:val="Normal"/>
              <w:keepNext w:val="true"/>
              <w:numPr>
                <w:ilvl w:val="0"/>
                <w:numId w:val="0"/>
              </w:numPr>
              <w:spacing w:lineRule="auto" w:line="240" w:before="0" w:after="0"/>
              <w:ind w:hanging="0" w:start="0"/>
              <w:outlineLvl w:val="4"/>
              <w:rPr>
                <w:b/>
                <w:bCs/>
                <w:color w:val="C9211E"/>
              </w:rPr>
            </w:pPr>
            <w:r>
              <w:rPr>
                <w:b/>
                <w:bCs/>
                <w:color w:val="C9211E"/>
                <w:sz w:val="28"/>
                <w:szCs w:val="28"/>
              </w:rPr>
              <w:t>71</w:t>
            </w:r>
            <w:r>
              <w:rPr>
                <w:b/>
                <w:bCs/>
                <w:color w:val="C9211E"/>
              </w:rPr>
              <w:t xml:space="preserve"> </w:t>
            </w:r>
            <w:r>
              <w:rPr>
                <w:b/>
                <w:bCs/>
                <w:color w:val="C9211E"/>
                <w:sz w:val="18"/>
                <w:szCs w:val="18"/>
              </w:rPr>
              <w:t>ψήφους και</w:t>
            </w:r>
            <w:r>
              <w:rPr>
                <w:b/>
                <w:bCs/>
                <w:color w:val="C9211E"/>
              </w:rPr>
              <w:t xml:space="preserve"> </w:t>
            </w:r>
            <w:r>
              <w:rPr>
                <w:b/>
                <w:bCs/>
                <w:color w:val="C9211E"/>
                <w:sz w:val="28"/>
                <w:szCs w:val="28"/>
              </w:rPr>
              <w:t>1</w:t>
            </w:r>
            <w:r>
              <w:rPr>
                <w:b/>
                <w:bCs/>
                <w:color w:val="C9211E"/>
              </w:rPr>
              <w:t xml:space="preserve"> </w:t>
            </w:r>
            <w:r>
              <w:rPr>
                <w:b/>
                <w:bCs/>
                <w:color w:val="C9211E"/>
                <w:sz w:val="18"/>
                <w:szCs w:val="18"/>
              </w:rPr>
              <w:t>αντιπρόσωπο</w:t>
            </w:r>
          </w:p>
          <w:p>
            <w:pPr>
              <w:pStyle w:val="Normal"/>
              <w:numPr>
                <w:ilvl w:val="0"/>
                <w:numId w:val="0"/>
              </w:numPr>
              <w:spacing w:lineRule="auto" w:line="240" w:before="0" w:after="0"/>
              <w:ind w:hanging="0" w:start="0"/>
              <w:jc w:val="center"/>
              <w:outlineLvl w:val="4"/>
              <w:rPr>
                <w:sz w:val="28"/>
                <w:szCs w:val="28"/>
              </w:rPr>
            </w:pPr>
            <w:r>
              <w:rPr>
                <w:b/>
                <w:bCs/>
                <w:color w:val="C9211E"/>
                <w:sz w:val="28"/>
                <w:szCs w:val="28"/>
              </w:rPr>
              <w:t>15 %</w:t>
            </w:r>
          </w:p>
        </w:tc>
      </w:tr>
    </w:tbl>
    <w:p>
      <w:pPr>
        <w:pStyle w:val="Normal"/>
        <w:spacing w:lineRule="auto" w:line="240" w:before="0" w:after="113"/>
        <w:jc w:val="center"/>
        <w:rPr>
          <w:b/>
        </w:rPr>
      </w:pPr>
      <w:r>
        <w:rPr>
          <w:b/>
        </w:rPr>
      </w:r>
    </w:p>
    <w:p>
      <w:pPr>
        <w:pStyle w:val="Normal"/>
        <w:spacing w:lineRule="auto" w:line="240" w:before="0" w:after="113"/>
        <w:jc w:val="center"/>
        <w:rPr>
          <w:sz w:val="26"/>
          <w:szCs w:val="26"/>
        </w:rPr>
      </w:pPr>
      <w:r>
        <w:rPr>
          <w:b/>
          <w:sz w:val="26"/>
          <w:szCs w:val="26"/>
        </w:rPr>
        <w:t>ΑΣΕ Συλλόγου “ΡΟΖΑ ΙΜΒΡΙΩΤΗ”</w:t>
      </w:r>
    </w:p>
    <w:p>
      <w:pPr>
        <w:pStyle w:val="Normal"/>
        <w:spacing w:lineRule="auto" w:line="240" w:before="0" w:after="113"/>
        <w:jc w:val="center"/>
        <w:rPr>
          <w:sz w:val="26"/>
          <w:szCs w:val="26"/>
        </w:rPr>
      </w:pPr>
      <w:r>
        <w:rPr>
          <w:b/>
          <w:sz w:val="26"/>
          <w:szCs w:val="26"/>
        </w:rPr>
        <w:t>2/6/2026</w:t>
      </w:r>
    </w:p>
    <w:sectPr>
      <w:type w:val="nextPage"/>
      <w:pgSz w:w="11906" w:h="16838"/>
      <w:pgMar w:left="709" w:right="709" w:gutter="0" w:header="0" w:top="567" w:footer="0" w:bottom="56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libri">
    <w:charset w:val="01" w:characterSet="utf-8"/>
    <w:family w:val="roman"/>
    <w:pitch w:val="variable"/>
  </w:font>
  <w:font w:name="Tahoma">
    <w:charset w:val="01" w:characterSet="utf-8"/>
    <w:family w:val="roman"/>
    <w:pitch w:val="variable"/>
  </w:font>
  <w:font w:name="Liberation Sans">
    <w:altName w:val="Arial"/>
    <w:charset w:val="01" w:characterSet="utf-8"/>
    <w:family w:val="roman"/>
    <w:pitch w:val="variable"/>
  </w:font>
  <w:font w:name="Times New Roman">
    <w:charset w:val="01" w:characterSet="utf-8"/>
    <w:family w:val="roman"/>
    <w:pitch w:val="variable"/>
  </w:font>
  <w:font w:name="Comic Sans MS">
    <w:charset w:val="01" w:characterSet="utf-8"/>
    <w:family w:val="roman"/>
    <w:pitch w:val="variable"/>
  </w:font>
</w:fonts>
</file>

<file path=word/settings.xml><?xml version="1.0" encoding="utf-8"?>
<w:settings xmlns:w="http://schemas.openxmlformats.org/wordprocessingml/2006/main">
  <w:zoom w:percent="193"/>
  <w:defaultTabStop w:val="720"/>
  <w:autoHyphenation w:val="true"/>
  <w:compat>
    <w:compatSetting w:name="compatibilityMode" w:uri="http://schemas.microsoft.com/office/word" w:val="12"/>
  </w:compat>
  <w:themeFontLang w:val="el-G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l-G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a032c"/>
    <w:pPr>
      <w:widowControl/>
      <w:suppressAutoHyphens w:val="true"/>
      <w:bidi w:val="0"/>
      <w:spacing w:lineRule="auto" w:line="276" w:before="0" w:after="200"/>
      <w:jc w:val="start"/>
    </w:pPr>
    <w:rPr>
      <w:rFonts w:ascii="Calibri" w:hAnsi="Calibri" w:eastAsia="Calibri" w:cs="" w:asciiTheme="minorHAnsi" w:cstheme="minorBidi" w:eastAsiaTheme="minorHAnsi" w:hAnsiTheme="minorHAnsi"/>
      <w:color w:val="auto"/>
      <w:kern w:val="0"/>
      <w:sz w:val="22"/>
      <w:szCs w:val="22"/>
      <w:lang w:val="el-GR" w:eastAsia="en-US" w:bidi="ar-SA"/>
    </w:rPr>
  </w:style>
  <w:style w:type="character" w:styleId="DefaultParagraphFont" w:default="1">
    <w:name w:val="Default Paragraph Font"/>
    <w:uiPriority w:val="1"/>
    <w:semiHidden/>
    <w:unhideWhenUsed/>
    <w:qFormat/>
    <w:rPr/>
  </w:style>
  <w:style w:type="character" w:styleId="Char" w:customStyle="1">
    <w:name w:val="Κείμενο πλαισίου Char"/>
    <w:basedOn w:val="DefaultParagraphFont"/>
    <w:link w:val="BalloonText"/>
    <w:uiPriority w:val="99"/>
    <w:semiHidden/>
    <w:qFormat/>
    <w:rsid w:val="006069e6"/>
    <w:rPr>
      <w:rFonts w:ascii="Tahoma" w:hAnsi="Tahoma" w:cs="Tahoma"/>
      <w:sz w:val="16"/>
      <w:szCs w:val="16"/>
    </w:rPr>
  </w:style>
  <w:style w:type="paragraph" w:styleId="Style14">
    <w:name w:val="Επικεφαλίδα"/>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Style15">
    <w:name w:val="Ευρετήριο"/>
    <w:basedOn w:val="Normal"/>
    <w:qFormat/>
    <w:pPr>
      <w:suppressLineNumbers/>
    </w:pPr>
    <w:rPr>
      <w:rFonts w:cs="Noto Sans Devanagari"/>
    </w:rPr>
  </w:style>
  <w:style w:type="paragraph" w:styleId="NormalWeb">
    <w:name w:val="Normal (Web)"/>
    <w:basedOn w:val="Normal"/>
    <w:uiPriority w:val="99"/>
    <w:unhideWhenUsed/>
    <w:qFormat/>
    <w:rsid w:val="006069e6"/>
    <w:pPr>
      <w:spacing w:lineRule="auto" w:line="240" w:beforeAutospacing="1" w:afterAutospacing="1"/>
    </w:pPr>
    <w:rPr>
      <w:rFonts w:ascii="Times New Roman" w:hAnsi="Times New Roman" w:eastAsia="Times New Roman" w:cs="Times New Roman"/>
      <w:sz w:val="24"/>
      <w:szCs w:val="24"/>
      <w:lang w:eastAsia="el-GR"/>
    </w:rPr>
  </w:style>
  <w:style w:type="paragraph" w:styleId="BalloonText">
    <w:name w:val="Balloon Text"/>
    <w:basedOn w:val="Normal"/>
    <w:link w:val="Char"/>
    <w:uiPriority w:val="99"/>
    <w:semiHidden/>
    <w:unhideWhenUsed/>
    <w:qFormat/>
    <w:rsid w:val="006069e6"/>
    <w:pPr>
      <w:spacing w:lineRule="auto" w:line="240" w:before="0" w:after="0"/>
    </w:pPr>
    <w:rPr>
      <w:rFonts w:ascii="Tahoma" w:hAnsi="Tahoma" w:cs="Tahoma"/>
      <w:sz w:val="16"/>
      <w:szCs w:val="16"/>
    </w:rPr>
  </w:style>
  <w:style w:type="numbering" w:styleId="Style16" w:default="1">
    <w:name w:val="Χωρίς κατάλογο"/>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Θέμα του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40</TotalTime>
  <Application>LibreOffice/24.2.7.2$Linux_X86_64 LibreOffice_project/420$Build-2</Application>
  <AppVersion>15.0000</AppVersion>
  <Pages>2</Pages>
  <Words>692</Words>
  <Characters>3782</Characters>
  <CharactersWithSpaces>4439</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2026-05-28T21:34:00Z</dcterms:created>
  <dc:creator>Stratos</dc:creator>
  <dc:description/>
  <dc:language>el-GR</dc:language>
  <cp:lastModifiedBy/>
  <dcterms:modified xsi:type="dcterms:W3CDTF">2026-06-02T23:56:23Z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file>